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EE38D4" w:rsidRPr="00EE38D4" w:rsidP="00EE38D4" w14:paraId="5D536A0F" w14:textId="1B2A086F">
      <w:pPr>
        <w:pStyle w:val="Lists"/>
        <w:rPr>
          <w:sz w:val="22"/>
          <w:lang w:val="en-US"/>
        </w:rPr>
      </w:pPr>
      <w:r w:rsidRPr="00203427">
        <w:rPr>
          <w:noProof/>
          <w:sz w:val="22"/>
          <w:lang w:val="en-US"/>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-447040</wp:posOffset>
                </wp:positionV>
                <wp:extent cx="6096000" cy="311785"/>
                <wp:effectExtent l="0" t="0" r="0" b="0"/>
                <wp:wrapNone/>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0"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6E6F" w:rsidRPr="006622DC" w:rsidP="00D16E6F" w14:textId="1C773443">
                            <w:pPr>
                              <w:rPr>
                                <w:rFonts w:ascii="Calibri Light" w:hAnsi="Calibri Light" w:cs="Calibri Light"/>
                                <w:sz w:val="20"/>
                              </w:rPr>
                            </w:pPr>
                            <w:r w:rsidRPr="006622DC">
                              <w:rPr>
                                <w:rFonts w:ascii="Calibri Light" w:hAnsi="Calibri Light" w:cs="Calibri Light"/>
                                <w:sz w:val="20"/>
                              </w:rPr>
                              <w:t xml:space="preserve">Presented by </w:t>
                            </w:r>
                            <w:r w:rsidR="00994637">
                              <w:rPr>
                                <w:rFonts w:ascii="Calibri Light" w:hAnsi="Calibri Light" w:cs="Calibri Light"/>
                                <w:sz w:val="20"/>
                              </w:rPr>
                              <w:t xml:space="preserve"> Lighthouse Benefit Advisors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pt;height:24.55pt;margin-top:-35.2pt;margin-left:-3.65pt;mso-height-percent:0;mso-height-relative:page;mso-width-percent:0;mso-width-relative:page;mso-wrap-distance-bottom:0;mso-wrap-distance-left:9pt;mso-wrap-distance-right:9pt;mso-wrap-distance-top:0;position:absolute;v-text-anchor:top;z-index:251658240" filled="f" fillcolor="this" stroked="f">
                <v:textbox>
                  <w:txbxContent>
                    <w:p w:rsidR="00D16E6F" w:rsidRPr="006622DC" w:rsidP="00D16E6F" w14:paraId="007BD11F" w14:textId="1C773443">
                      <w:pPr>
                        <w:rPr>
                          <w:rFonts w:ascii="Calibri Light" w:hAnsi="Calibri Light" w:cs="Calibri Light"/>
                          <w:sz w:val="20"/>
                        </w:rPr>
                      </w:pPr>
                      <w:r w:rsidRPr="006622DC">
                        <w:rPr>
                          <w:rFonts w:ascii="Calibri Light" w:hAnsi="Calibri Light" w:cs="Calibri Light"/>
                          <w:sz w:val="20"/>
                        </w:rPr>
                        <w:t xml:space="preserve">Presented by </w:t>
                      </w:r>
                      <w:r w:rsidR="00994637">
                        <w:rPr>
                          <w:rFonts w:ascii="Calibri Light" w:hAnsi="Calibri Light" w:cs="Calibri Light"/>
                          <w:sz w:val="20"/>
                        </w:rPr>
                        <w:t xml:space="preserve"> Lighthouse Benefit Advisors</w:t>
                      </w:r>
                    </w:p>
                  </w:txbxContent>
                </v:textbox>
              </v:shape>
            </w:pict>
          </mc:Fallback>
        </mc:AlternateContent>
      </w:r>
      <w:r w:rsidRPr="00EE38D4" w:rsidR="00EE38D4">
        <w:rPr>
          <w:sz w:val="22"/>
          <w:lang w:val="en-US"/>
        </w:rPr>
        <w:t xml:space="preserve">Federal law imposes numerous requirements on the group health coverage that employers provide </w:t>
      </w:r>
      <w:r w:rsidR="00AC4F14">
        <w:rPr>
          <w:sz w:val="22"/>
          <w:lang w:val="en-US"/>
        </w:rPr>
        <w:t>for</w:t>
      </w:r>
      <w:r w:rsidRPr="00EE38D4" w:rsidR="00EE38D4">
        <w:rPr>
          <w:sz w:val="22"/>
          <w:lang w:val="en-US"/>
        </w:rPr>
        <w:t xml:space="preserve"> their employees. Many federal compliance laws apply to all group health plans, regardless of the size of the sponsoring employer. However, there are some compliance exceptions for group health coverage provided by small employers. Small employers, for example, are not required to comply with the Affordable Care Act’s (ACA) employer shared responsibility rules for applicable large employers (ALEs) or </w:t>
      </w:r>
      <w:r w:rsidR="00C7094D">
        <w:rPr>
          <w:sz w:val="22"/>
          <w:lang w:val="en-US"/>
        </w:rPr>
        <w:t>the</w:t>
      </w:r>
      <w:r w:rsidRPr="00EE38D4" w:rsidR="00EE38D4">
        <w:rPr>
          <w:sz w:val="22"/>
          <w:lang w:val="en-US"/>
        </w:rPr>
        <w:t xml:space="preserve"> </w:t>
      </w:r>
      <w:r w:rsidR="00334003">
        <w:rPr>
          <w:sz w:val="22"/>
          <w:lang w:val="en-US"/>
        </w:rPr>
        <w:t xml:space="preserve">federal </w:t>
      </w:r>
      <w:r w:rsidRPr="00EE38D4" w:rsidR="00EE38D4">
        <w:rPr>
          <w:sz w:val="22"/>
          <w:lang w:val="en-US"/>
        </w:rPr>
        <w:t>Family and Medical Leave Act</w:t>
      </w:r>
      <w:r w:rsidR="00C7094D">
        <w:rPr>
          <w:sz w:val="22"/>
          <w:lang w:val="en-US"/>
        </w:rPr>
        <w:t xml:space="preserve">. </w:t>
      </w:r>
    </w:p>
    <w:p w:rsidR="0098689C" w:rsidP="0098689C" w14:paraId="300024D7" w14:textId="2A8D8E3C">
      <w:pPr>
        <w:pStyle w:val="Lists"/>
        <w:rPr>
          <w:sz w:val="22"/>
          <w:lang w:val="en-US"/>
        </w:rPr>
      </w:pPr>
      <w:r w:rsidRPr="00EE38D4">
        <w:rPr>
          <w:sz w:val="22"/>
          <w:lang w:val="en-US"/>
        </w:rPr>
        <w:t>This</w:t>
      </w:r>
      <w:r>
        <w:rPr>
          <w:sz w:val="22"/>
          <w:lang w:val="en-US"/>
        </w:rPr>
        <w:t xml:space="preserve"> </w:t>
      </w:r>
      <w:r w:rsidRPr="00EE38D4">
        <w:rPr>
          <w:sz w:val="22"/>
          <w:lang w:val="en-US"/>
        </w:rPr>
        <w:t xml:space="preserve">checklist </w:t>
      </w:r>
      <w:r>
        <w:rPr>
          <w:sz w:val="22"/>
          <w:lang w:val="en-US"/>
        </w:rPr>
        <w:t>summarizes</w:t>
      </w:r>
      <w:r w:rsidRPr="00EE38D4">
        <w:rPr>
          <w:sz w:val="22"/>
          <w:lang w:val="en-US"/>
        </w:rPr>
        <w:t xml:space="preserve"> </w:t>
      </w:r>
      <w:r w:rsidR="006D47EF">
        <w:rPr>
          <w:sz w:val="22"/>
          <w:lang w:val="en-US"/>
        </w:rPr>
        <w:t xml:space="preserve">the federal laws </w:t>
      </w:r>
      <w:r w:rsidRPr="00EE38D4">
        <w:rPr>
          <w:sz w:val="22"/>
          <w:lang w:val="en-US"/>
        </w:rPr>
        <w:t xml:space="preserve">applicable to </w:t>
      </w:r>
      <w:r w:rsidR="006D47EF">
        <w:rPr>
          <w:sz w:val="22"/>
          <w:lang w:val="en-US"/>
        </w:rPr>
        <w:t xml:space="preserve">health plans sponsored by </w:t>
      </w:r>
      <w:r w:rsidRPr="00EE38D4">
        <w:rPr>
          <w:sz w:val="22"/>
          <w:lang w:val="en-US"/>
        </w:rPr>
        <w:t xml:space="preserve">small </w:t>
      </w:r>
      <w:r w:rsidR="003879D5">
        <w:rPr>
          <w:sz w:val="22"/>
          <w:lang w:val="en-US"/>
        </w:rPr>
        <w:t xml:space="preserve">private-sector </w:t>
      </w:r>
      <w:r w:rsidRPr="00EE38D4">
        <w:rPr>
          <w:sz w:val="22"/>
          <w:lang w:val="en-US"/>
        </w:rPr>
        <w:t>employers</w:t>
      </w:r>
      <w:r w:rsidR="00391F54">
        <w:rPr>
          <w:sz w:val="22"/>
          <w:lang w:val="en-US"/>
        </w:rPr>
        <w:t>.</w:t>
      </w:r>
      <w:r w:rsidR="003C4C49">
        <w:rPr>
          <w:sz w:val="22"/>
          <w:lang w:val="en-US"/>
        </w:rPr>
        <w:t xml:space="preserve"> </w:t>
      </w:r>
      <w:r w:rsidRPr="00EE38D4">
        <w:rPr>
          <w:sz w:val="22"/>
          <w:lang w:val="en-US"/>
        </w:rPr>
        <w:t xml:space="preserve">Federal laws regarding group health plans do not have a consistent definition for “small employer.” However, for purposes of this </w:t>
      </w:r>
      <w:r>
        <w:rPr>
          <w:sz w:val="22"/>
          <w:lang w:val="en-US"/>
        </w:rPr>
        <w:t>checklist</w:t>
      </w:r>
      <w:r w:rsidRPr="00EE38D4">
        <w:rPr>
          <w:sz w:val="22"/>
          <w:lang w:val="en-US"/>
        </w:rPr>
        <w:t xml:space="preserve">, a small employer is one with </w:t>
      </w:r>
      <w:r w:rsidRPr="00EE38D4">
        <w:rPr>
          <w:b/>
          <w:bCs/>
          <w:sz w:val="22"/>
          <w:lang w:val="en-US"/>
        </w:rPr>
        <w:t>fewer than 50 employees</w:t>
      </w:r>
      <w:r w:rsidRPr="00EE38D4">
        <w:rPr>
          <w:sz w:val="22"/>
          <w:lang w:val="en-US"/>
        </w:rPr>
        <w:t xml:space="preserve">. </w:t>
      </w:r>
    </w:p>
    <w:p w:rsidR="00CE1A73" w:rsidRPr="00CC4DB4" w:rsidP="00F76F5D" w14:paraId="2E72EC3F" w14:textId="03BFD237">
      <w:pPr>
        <w:pStyle w:val="Lists"/>
        <w:rPr>
          <w:b/>
          <w:bCs/>
          <w:color w:val="5083C9"/>
          <w:sz w:val="32"/>
          <w:szCs w:val="32"/>
          <w:lang w:val="en-US"/>
        </w:rPr>
      </w:pPr>
      <w:r>
        <w:rPr>
          <w:b/>
          <w:bCs/>
          <w:color w:val="5083C9"/>
          <w:sz w:val="32"/>
          <w:szCs w:val="32"/>
          <w:lang w:val="en-US"/>
        </w:rPr>
        <w:t>Health Plan Design</w:t>
      </w: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014"/>
        <w:gridCol w:w="1169"/>
        <w:gridCol w:w="1167"/>
      </w:tblGrid>
      <w:tr w14:paraId="376E474C" w14:textId="77777777" w:rsidTr="0098689C">
        <w:tblPrEx>
          <w:tblW w:w="5000" w:type="pct"/>
          <w:tblLook w:val="01E0"/>
        </w:tblPrEx>
        <w:trPr>
          <w:trHeight w:val="211"/>
        </w:trPr>
        <w:tc>
          <w:tcPr>
            <w:tcW w:w="3751"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CE1A73" w:rsidRPr="00823DD7" w:rsidP="00500AFA" w14:paraId="3F5A9763" w14:textId="35CC40FB">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Health Pl</w:t>
            </w:r>
            <w:r w:rsidR="00F72D5E">
              <w:rPr>
                <w:rFonts w:asciiTheme="majorHAnsi" w:hAnsiTheme="majorHAnsi" w:cstheme="majorHAnsi"/>
                <w:b/>
                <w:bCs/>
                <w:color w:val="FFFFFF" w:themeColor="background1"/>
              </w:rPr>
              <w:t>an Design Requirements</w:t>
            </w:r>
          </w:p>
        </w:tc>
        <w:tc>
          <w:tcPr>
            <w:tcW w:w="625"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CE1A73" w:rsidRPr="00823DD7" w:rsidP="00500AFA" w14:paraId="116E996B" w14:textId="77777777">
            <w:pPr>
              <w:spacing w:before="60" w:after="60" w:line="280" w:lineRule="atLeast"/>
              <w:jc w:val="center"/>
              <w:rPr>
                <w:rFonts w:asciiTheme="majorHAnsi" w:hAnsiTheme="majorHAnsi" w:cstheme="majorHAnsi"/>
                <w:b/>
                <w:bCs/>
                <w:color w:val="FFFFFF" w:themeColor="background1"/>
              </w:rPr>
            </w:pPr>
            <w:r w:rsidRPr="00823DD7">
              <w:rPr>
                <w:rFonts w:asciiTheme="majorHAnsi" w:hAnsiTheme="majorHAnsi" w:cstheme="majorHAnsi"/>
                <w:b/>
                <w:bCs/>
                <w:color w:val="FFFFFF" w:themeColor="background1"/>
              </w:rPr>
              <w:t>Yes</w:t>
            </w:r>
          </w:p>
        </w:tc>
        <w:tc>
          <w:tcPr>
            <w:tcW w:w="624"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tcPr>
          <w:p w:rsidR="00CE1A73" w:rsidRPr="00823DD7" w:rsidP="00500AFA" w14:paraId="5B00594A" w14:textId="77777777">
            <w:pPr>
              <w:spacing w:before="60" w:after="60" w:line="280" w:lineRule="atLeast"/>
              <w:jc w:val="center"/>
              <w:rPr>
                <w:rFonts w:asciiTheme="majorHAnsi" w:hAnsiTheme="majorHAnsi" w:cstheme="majorHAnsi"/>
                <w:b/>
                <w:bCs/>
                <w:color w:val="FFFFFF" w:themeColor="background1"/>
              </w:rPr>
            </w:pPr>
            <w:r w:rsidRPr="00823DD7">
              <w:rPr>
                <w:rFonts w:asciiTheme="majorHAnsi" w:hAnsiTheme="majorHAnsi" w:cstheme="majorHAnsi"/>
                <w:b/>
                <w:bCs/>
                <w:color w:val="FFFFFF" w:themeColor="background1"/>
              </w:rPr>
              <w:t>No</w:t>
            </w:r>
          </w:p>
        </w:tc>
      </w:tr>
      <w:tr w14:paraId="04DBE610" w14:textId="77777777" w:rsidTr="0098689C">
        <w:tblPrEx>
          <w:tblW w:w="5000" w:type="pct"/>
          <w:tblLook w:val="01E0"/>
        </w:tblPrEx>
        <w:trPr>
          <w:trHeight w:val="403"/>
        </w:trPr>
        <w:tc>
          <w:tcPr>
            <w:tcW w:w="3751"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CE1A73" w:rsidRPr="00746AC2" w:rsidP="00316169" w14:paraId="1CB1F92A" w14:textId="3F622722">
            <w:pPr>
              <w:pStyle w:val="Lists"/>
              <w:spacing w:before="60" w:after="60"/>
              <w:rPr>
                <w:b/>
                <w:bCs/>
                <w:sz w:val="22"/>
                <w:szCs w:val="22"/>
                <w:lang w:val="en-US"/>
              </w:rPr>
            </w:pPr>
            <w:r>
              <w:rPr>
                <w:b/>
                <w:bCs/>
                <w:sz w:val="22"/>
                <w:szCs w:val="22"/>
                <w:lang w:val="en-US"/>
              </w:rPr>
              <w:t>If your health plan imposes a waiting period, is it 90 days or less in duration?</w:t>
            </w:r>
          </w:p>
          <w:p w:rsidR="004C1F09" w:rsidRPr="00746AC2" w:rsidP="0098689C" w14:paraId="363A548F" w14:textId="3A19AEA5">
            <w:pPr>
              <w:pStyle w:val="Lists"/>
              <w:spacing w:before="60" w:after="60"/>
              <w:rPr>
                <w:sz w:val="22"/>
                <w:szCs w:val="22"/>
                <w:lang w:val="en-US"/>
              </w:rPr>
            </w:pPr>
            <w:r>
              <w:rPr>
                <w:sz w:val="22"/>
                <w:szCs w:val="22"/>
                <w:lang w:val="en-US"/>
              </w:rPr>
              <w:t xml:space="preserve">The ACA prohibits </w:t>
            </w:r>
            <w:r w:rsidRPr="00213B62" w:rsidR="00213B62">
              <w:rPr>
                <w:sz w:val="22"/>
                <w:szCs w:val="22"/>
                <w:lang w:val="en-US"/>
              </w:rPr>
              <w:t xml:space="preserve">health plans from </w:t>
            </w:r>
            <w:r w:rsidRPr="00213B62" w:rsidR="00213B62">
              <w:rPr>
                <w:sz w:val="22"/>
                <w:szCs w:val="22"/>
                <w:lang w:val="en-US"/>
              </w:rPr>
              <w:t>applying</w:t>
            </w:r>
            <w:r w:rsidRPr="00213B62" w:rsidR="00213B62">
              <w:rPr>
                <w:sz w:val="22"/>
                <w:szCs w:val="22"/>
                <w:lang w:val="en-US"/>
              </w:rPr>
              <w:t xml:space="preserve"> any waiting period that exceeds 90 days.</w:t>
            </w:r>
            <w:r w:rsidR="007537BB">
              <w:rPr>
                <w:sz w:val="22"/>
                <w:szCs w:val="22"/>
                <w:lang w:val="en-US"/>
              </w:rPr>
              <w:t xml:space="preserve"> </w:t>
            </w:r>
            <w:r w:rsidR="00EE3B31">
              <w:rPr>
                <w:sz w:val="22"/>
                <w:szCs w:val="22"/>
                <w:lang w:val="en-US"/>
              </w:rPr>
              <w:t xml:space="preserve">Other eligibility conditions that are not based solely on the lapse of time are generally allowed. </w:t>
            </w:r>
            <w:r w:rsidR="001C63D1">
              <w:rPr>
                <w:sz w:val="22"/>
                <w:szCs w:val="22"/>
                <w:lang w:val="en-US"/>
              </w:rPr>
              <w:t>Also, e</w:t>
            </w:r>
            <w:r w:rsidRPr="00213B62" w:rsidR="00213B62">
              <w:rPr>
                <w:sz w:val="22"/>
                <w:szCs w:val="22"/>
                <w:lang w:val="en-US"/>
              </w:rPr>
              <w:t>mployers ma</w:t>
            </w:r>
            <w:r w:rsidR="00DD025C">
              <w:rPr>
                <w:sz w:val="22"/>
                <w:szCs w:val="22"/>
                <w:lang w:val="en-US"/>
              </w:rPr>
              <w:t xml:space="preserve">y require employees </w:t>
            </w:r>
            <w:r w:rsidRPr="00213B62" w:rsidR="00213B62">
              <w:rPr>
                <w:sz w:val="22"/>
                <w:szCs w:val="22"/>
                <w:lang w:val="en-US"/>
              </w:rPr>
              <w:t xml:space="preserve">to successfully complete a reasonable and bona fide employment-based orientation period as a condition for </w:t>
            </w:r>
            <w:r w:rsidR="00753998">
              <w:rPr>
                <w:sz w:val="22"/>
                <w:szCs w:val="22"/>
                <w:lang w:val="en-US"/>
              </w:rPr>
              <w:t xml:space="preserve">health plan </w:t>
            </w:r>
            <w:r w:rsidRPr="00213B62" w:rsidR="00213B62">
              <w:rPr>
                <w:sz w:val="22"/>
                <w:szCs w:val="22"/>
                <w:lang w:val="en-US"/>
              </w:rPr>
              <w:t>eligibility. However, any permitted orientation period may not exceed one month.</w:t>
            </w:r>
          </w:p>
        </w:tc>
        <w:sdt>
          <w:sdtPr>
            <w:rPr>
              <w:sz w:val="28"/>
              <w:szCs w:val="28"/>
            </w:rPr>
            <w:id w:val="-1866436504"/>
            <w14:checkbox>
              <w14:checked w14:val="0"/>
              <w14:checkedState w14:val="2612" w14:font="MS Gothic"/>
              <w14:uncheckedState w14:val="2610" w14:font="MS Gothic"/>
            </w14:checkbox>
          </w:sdtPr>
          <w:sdtContent>
            <w:tc>
              <w:tcPr>
                <w:tcW w:w="625"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CE1A73" w:rsidRPr="00DC0DC6" w:rsidP="00500AFA" w14:paraId="76CABA41" w14:textId="7E7FAD2A">
                <w:pPr>
                  <w:spacing w:before="60" w:after="60"/>
                  <w:jc w:val="center"/>
                  <w:rPr>
                    <w:sz w:val="28"/>
                    <w:szCs w:val="28"/>
                  </w:rPr>
                </w:pPr>
                <w:r w:rsidRPr="00DC0DC6">
                  <w:rPr>
                    <w:rFonts w:ascii="MS Gothic" w:eastAsia="MS Gothic" w:hAnsi="MS Gothic" w:hint="eastAsia"/>
                    <w:sz w:val="28"/>
                    <w:szCs w:val="28"/>
                  </w:rPr>
                  <w:t>☐</w:t>
                </w:r>
              </w:p>
            </w:tc>
          </w:sdtContent>
        </w:sdt>
        <w:sdt>
          <w:sdtPr>
            <w:rPr>
              <w:sz w:val="28"/>
              <w:szCs w:val="28"/>
            </w:rPr>
            <w:id w:val="-1423641817"/>
            <w14:checkbox>
              <w14:checked w14:val="0"/>
              <w14:checkedState w14:val="2612" w14:font="MS Gothic"/>
              <w14:uncheckedState w14:val="2610" w14:font="MS Gothic"/>
            </w14:checkbox>
          </w:sdtPr>
          <w:sdtContent>
            <w:tc>
              <w:tcPr>
                <w:tcW w:w="62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CE1A73" w:rsidRPr="00DC0DC6" w:rsidP="00500AFA" w14:paraId="5A583451" w14:textId="77777777">
                <w:pPr>
                  <w:spacing w:before="60" w:after="60"/>
                  <w:jc w:val="center"/>
                  <w:rPr>
                    <w:sz w:val="28"/>
                    <w:szCs w:val="28"/>
                  </w:rPr>
                </w:pPr>
                <w:r w:rsidRPr="00DC0DC6">
                  <w:rPr>
                    <w:rFonts w:ascii="MS Gothic" w:eastAsia="MS Gothic" w:hAnsi="MS Gothic" w:hint="eastAsia"/>
                    <w:sz w:val="28"/>
                    <w:szCs w:val="28"/>
                  </w:rPr>
                  <w:t>☐</w:t>
                </w:r>
              </w:p>
            </w:tc>
          </w:sdtContent>
        </w:sdt>
      </w:tr>
      <w:tr w14:paraId="6D87ABFC" w14:textId="77777777" w:rsidTr="0098689C">
        <w:tblPrEx>
          <w:tblW w:w="5000" w:type="pct"/>
          <w:tblLook w:val="01E0"/>
        </w:tblPrEx>
        <w:trPr>
          <w:trHeight w:val="403"/>
        </w:trPr>
        <w:tc>
          <w:tcPr>
            <w:tcW w:w="3751"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8689C" w:rsidP="00316169" w14:paraId="4F2A3545" w14:textId="3DE68CAE">
            <w:pPr>
              <w:pStyle w:val="Lists"/>
              <w:spacing w:before="60" w:after="60"/>
              <w:rPr>
                <w:b/>
                <w:bCs/>
                <w:sz w:val="22"/>
                <w:szCs w:val="22"/>
                <w:lang w:val="en-US"/>
              </w:rPr>
            </w:pPr>
            <w:r>
              <w:rPr>
                <w:b/>
                <w:bCs/>
                <w:sz w:val="22"/>
                <w:szCs w:val="22"/>
                <w:lang w:val="en-US"/>
              </w:rPr>
              <w:t xml:space="preserve">Does your health plan </w:t>
            </w:r>
            <w:r w:rsidR="00E07161">
              <w:rPr>
                <w:b/>
                <w:bCs/>
                <w:sz w:val="22"/>
                <w:szCs w:val="22"/>
                <w:lang w:val="en-US"/>
              </w:rPr>
              <w:t>comply with the ACA’s prohibition on annual or</w:t>
            </w:r>
            <w:r>
              <w:rPr>
                <w:b/>
                <w:bCs/>
                <w:sz w:val="22"/>
                <w:szCs w:val="22"/>
                <w:lang w:val="en-US"/>
              </w:rPr>
              <w:t xml:space="preserve"> lifetime dollar limits on essential health benefits (EHB)?</w:t>
            </w:r>
          </w:p>
          <w:p w:rsidR="0098689C" w:rsidP="0098689C" w14:paraId="74C83A61" w14:textId="085C9BD9">
            <w:pPr>
              <w:pStyle w:val="Lists"/>
              <w:spacing w:before="60" w:after="60"/>
              <w:rPr>
                <w:b/>
                <w:bCs/>
                <w:sz w:val="22"/>
                <w:szCs w:val="22"/>
                <w:lang w:val="en-US"/>
              </w:rPr>
            </w:pPr>
            <w:r>
              <w:rPr>
                <w:sz w:val="22"/>
                <w:szCs w:val="22"/>
                <w:lang w:val="en-US"/>
              </w:rPr>
              <w:t>Under the ACA, h</w:t>
            </w:r>
            <w:r>
              <w:rPr>
                <w:sz w:val="22"/>
                <w:szCs w:val="22"/>
                <w:lang w:val="en-US"/>
              </w:rPr>
              <w:t>ealth plans cannot</w:t>
            </w:r>
            <w:r w:rsidRPr="00BE742F">
              <w:rPr>
                <w:sz w:val="22"/>
                <w:szCs w:val="22"/>
                <w:lang w:val="en-US"/>
              </w:rPr>
              <w:t xml:space="preserve"> impos</w:t>
            </w:r>
            <w:r>
              <w:rPr>
                <w:sz w:val="22"/>
                <w:szCs w:val="22"/>
                <w:lang w:val="en-US"/>
              </w:rPr>
              <w:t>e</w:t>
            </w:r>
            <w:r w:rsidRPr="00BE742F">
              <w:rPr>
                <w:sz w:val="22"/>
                <w:szCs w:val="22"/>
                <w:lang w:val="en-US"/>
              </w:rPr>
              <w:t xml:space="preserve"> lifetime and annual limits on the dollar value of </w:t>
            </w:r>
            <w:r>
              <w:rPr>
                <w:sz w:val="22"/>
                <w:szCs w:val="22"/>
                <w:lang w:val="en-US"/>
              </w:rPr>
              <w:t>EHB</w:t>
            </w:r>
            <w:r w:rsidRPr="00BE742F">
              <w:rPr>
                <w:sz w:val="22"/>
                <w:szCs w:val="22"/>
                <w:lang w:val="en-US"/>
              </w:rPr>
              <w:t>. EHB reflect</w:t>
            </w:r>
            <w:r w:rsidR="00007DDE">
              <w:rPr>
                <w:sz w:val="22"/>
                <w:szCs w:val="22"/>
                <w:lang w:val="en-US"/>
              </w:rPr>
              <w:t>s</w:t>
            </w:r>
            <w:r w:rsidRPr="00BE742F">
              <w:rPr>
                <w:sz w:val="22"/>
                <w:szCs w:val="22"/>
                <w:lang w:val="en-US"/>
              </w:rPr>
              <w:t xml:space="preserve"> the scope of benefits covered by a typical employer and cover</w:t>
            </w:r>
            <w:r w:rsidR="00007DDE">
              <w:rPr>
                <w:sz w:val="22"/>
                <w:szCs w:val="22"/>
                <w:lang w:val="en-US"/>
              </w:rPr>
              <w:t>s</w:t>
            </w:r>
            <w:r w:rsidRPr="00BE742F">
              <w:rPr>
                <w:sz w:val="22"/>
                <w:szCs w:val="22"/>
                <w:lang w:val="en-US"/>
              </w:rPr>
              <w:t xml:space="preserve"> at least 10 general categories of items and services, such as </w:t>
            </w:r>
            <w:r>
              <w:rPr>
                <w:sz w:val="22"/>
                <w:szCs w:val="22"/>
                <w:lang w:val="en-US"/>
              </w:rPr>
              <w:t xml:space="preserve">outpatient care, </w:t>
            </w:r>
            <w:r w:rsidRPr="00BE742F">
              <w:rPr>
                <w:sz w:val="22"/>
                <w:szCs w:val="22"/>
                <w:lang w:val="en-US"/>
              </w:rPr>
              <w:t xml:space="preserve">emergency services, hospitalization, maternity </w:t>
            </w:r>
            <w:r>
              <w:rPr>
                <w:sz w:val="22"/>
                <w:szCs w:val="22"/>
                <w:lang w:val="en-US"/>
              </w:rPr>
              <w:t xml:space="preserve">and newborn </w:t>
            </w:r>
            <w:r w:rsidRPr="00BE742F">
              <w:rPr>
                <w:sz w:val="22"/>
                <w:szCs w:val="22"/>
                <w:lang w:val="en-US"/>
              </w:rPr>
              <w:t>care, mental health and substance use disorder benefits, prescription drugs</w:t>
            </w:r>
            <w:r>
              <w:rPr>
                <w:sz w:val="22"/>
                <w:szCs w:val="22"/>
                <w:lang w:val="en-US"/>
              </w:rPr>
              <w:t>, rehabilitative and habilitative services and devices, lab services, preventive and wellness services</w:t>
            </w:r>
            <w:r w:rsidR="00981487">
              <w:rPr>
                <w:sz w:val="22"/>
                <w:szCs w:val="22"/>
                <w:lang w:val="en-US"/>
              </w:rPr>
              <w:t>,</w:t>
            </w:r>
            <w:r>
              <w:rPr>
                <w:sz w:val="22"/>
                <w:szCs w:val="22"/>
                <w:lang w:val="en-US"/>
              </w:rPr>
              <w:t xml:space="preserve"> and pediatric services, including oral and vision care</w:t>
            </w:r>
            <w:r w:rsidRPr="00BE742F">
              <w:rPr>
                <w:sz w:val="22"/>
                <w:szCs w:val="22"/>
                <w:lang w:val="en-US"/>
              </w:rPr>
              <w:t>.</w:t>
            </w:r>
          </w:p>
        </w:tc>
        <w:sdt>
          <w:sdtPr>
            <w:rPr>
              <w:sz w:val="28"/>
              <w:szCs w:val="28"/>
            </w:rPr>
            <w:id w:val="-1524635414"/>
            <w14:checkbox>
              <w14:checked w14:val="0"/>
              <w14:checkedState w14:val="2612" w14:font="MS Gothic"/>
              <w14:uncheckedState w14:val="2610" w14:font="MS Gothic"/>
            </w14:checkbox>
          </w:sdtPr>
          <w:sdtContent>
            <w:tc>
              <w:tcPr>
                <w:tcW w:w="625"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8689C" w:rsidRPr="00DC0DC6" w:rsidP="00500AFA" w14:paraId="40749DEA" w14:textId="2F3662A3">
                <w:pPr>
                  <w:spacing w:before="60" w:after="60"/>
                  <w:jc w:val="center"/>
                  <w:rPr>
                    <w:sz w:val="28"/>
                    <w:szCs w:val="28"/>
                  </w:rPr>
                </w:pPr>
                <w:r>
                  <w:rPr>
                    <w:rFonts w:ascii="MS Gothic" w:eastAsia="MS Gothic" w:hAnsi="MS Gothic" w:hint="eastAsia"/>
                    <w:sz w:val="28"/>
                    <w:szCs w:val="28"/>
                  </w:rPr>
                  <w:t>☐</w:t>
                </w:r>
              </w:p>
            </w:tc>
          </w:sdtContent>
        </w:sdt>
        <w:sdt>
          <w:sdtPr>
            <w:rPr>
              <w:sz w:val="28"/>
              <w:szCs w:val="28"/>
            </w:rPr>
            <w:id w:val="562452409"/>
            <w14:checkbox>
              <w14:checked w14:val="0"/>
              <w14:checkedState w14:val="2612" w14:font="MS Gothic"/>
              <w14:uncheckedState w14:val="2610" w14:font="MS Gothic"/>
            </w14:checkbox>
          </w:sdtPr>
          <w:sdtContent>
            <w:tc>
              <w:tcPr>
                <w:tcW w:w="62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8689C" w:rsidRPr="00DC0DC6" w:rsidP="00500AFA" w14:paraId="54DAEB74" w14:textId="1CE5C4B6">
                <w:pPr>
                  <w:spacing w:before="60" w:after="60"/>
                  <w:jc w:val="center"/>
                  <w:rPr>
                    <w:sz w:val="28"/>
                    <w:szCs w:val="28"/>
                  </w:rPr>
                </w:pPr>
                <w:r>
                  <w:rPr>
                    <w:rFonts w:ascii="MS Gothic" w:eastAsia="MS Gothic" w:hAnsi="MS Gothic" w:hint="eastAsia"/>
                    <w:sz w:val="28"/>
                    <w:szCs w:val="28"/>
                  </w:rPr>
                  <w:t>☐</w:t>
                </w:r>
              </w:p>
            </w:tc>
          </w:sdtContent>
        </w:sdt>
      </w:tr>
    </w:tbl>
    <w:p w:rsidR="00A66860" w:rsidRPr="00A66860" w14:paraId="5BE5FAD7" w14:textId="77777777">
      <w:pPr>
        <w:rPr>
          <w:rFonts w:asciiTheme="majorHAnsi" w:hAnsiTheme="majorHAnsi" w:cstheme="majorHAnsi"/>
          <w:sz w:val="20"/>
          <w:szCs w:val="20"/>
        </w:rPr>
      </w:pPr>
    </w:p>
    <w:p w:rsidR="00A66860" w14:paraId="39903515" w14:textId="77777777">
      <w:pPr>
        <w:rPr>
          <w:rFonts w:asciiTheme="majorHAnsi" w:hAnsiTheme="majorHAnsi" w:cstheme="majorHAnsi"/>
          <w:sz w:val="28"/>
        </w:rPr>
      </w:pPr>
    </w:p>
    <w:p w:rsidR="00A85241" w:rsidRPr="00D16E6F" w14:paraId="59F105B0" w14:textId="1B6A665F">
      <w:pPr>
        <w:rPr>
          <w:rFonts w:asciiTheme="majorHAnsi" w:hAnsiTheme="majorHAnsi" w:cstheme="majorHAnsi"/>
          <w:sz w:val="28"/>
        </w:rPr>
        <w:sectPr w:rsidSect="00440B07">
          <w:headerReference w:type="default" r:id="rId8"/>
          <w:footerReference w:type="default" r:id="rId9"/>
          <w:headerReference w:type="first" r:id="rId10"/>
          <w:footerReference w:type="first" r:id="rId11"/>
          <w:pgSz w:w="12240" w:h="15840"/>
          <w:pgMar w:top="2592" w:right="1440" w:bottom="1440" w:left="1440" w:header="720" w:footer="720" w:gutter="0"/>
          <w:cols w:space="720"/>
          <w:docGrid w:linePitch="360"/>
        </w:sectPr>
      </w:pP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6902"/>
        <w:gridCol w:w="1280"/>
        <w:gridCol w:w="1162"/>
      </w:tblGrid>
      <w:tr w14:paraId="5119DC45" w14:textId="0B5C8ACA" w:rsidTr="00FF587E">
        <w:tblPrEx>
          <w:tblW w:w="5000" w:type="pct"/>
          <w:tblLook w:val="01E0"/>
        </w:tblPrEx>
        <w:trPr>
          <w:trHeight w:val="211"/>
          <w:tblHeader/>
        </w:trPr>
        <w:tc>
          <w:tcPr>
            <w:tcW w:w="3693" w:type="pct"/>
            <w:shd w:val="clear" w:color="auto" w:fill="5083C9"/>
            <w:vAlign w:val="center"/>
          </w:tcPr>
          <w:p w:rsidR="00213B62" w:rsidRPr="00D04EE6" w:rsidP="00500AFA" w14:paraId="36FC6B8B" w14:textId="42CCEF32">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 xml:space="preserve">Health Plan </w:t>
            </w:r>
            <w:r w:rsidR="00133850">
              <w:rPr>
                <w:rFonts w:asciiTheme="majorHAnsi" w:hAnsiTheme="majorHAnsi" w:cstheme="majorHAnsi"/>
                <w:color w:val="FFFFFF" w:themeColor="background1"/>
                <w:sz w:val="24"/>
                <w:szCs w:val="24"/>
              </w:rPr>
              <w:t>Design Requirements</w:t>
            </w:r>
          </w:p>
        </w:tc>
        <w:tc>
          <w:tcPr>
            <w:tcW w:w="685" w:type="pct"/>
            <w:shd w:val="clear" w:color="auto" w:fill="5083C9"/>
            <w:vAlign w:val="center"/>
          </w:tcPr>
          <w:p w:rsidR="00213B62" w:rsidRPr="00823DD7" w:rsidP="00500AFA" w14:paraId="0CB68506" w14:textId="4E77BACA">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Yes</w:t>
            </w:r>
          </w:p>
        </w:tc>
        <w:tc>
          <w:tcPr>
            <w:tcW w:w="622" w:type="pct"/>
            <w:shd w:val="clear" w:color="auto" w:fill="5083C9"/>
          </w:tcPr>
          <w:p w:rsidR="00213B62" w:rsidRPr="00823DD7" w:rsidP="00500AFA" w14:paraId="78450E0B" w14:textId="28111958">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w:t>
            </w:r>
          </w:p>
        </w:tc>
      </w:tr>
      <w:tr w14:paraId="19FF0D37" w14:textId="77777777" w:rsidTr="00FF587E">
        <w:tblPrEx>
          <w:tblW w:w="5000" w:type="pct"/>
          <w:tblLook w:val="01E0"/>
        </w:tblPrEx>
        <w:trPr>
          <w:trHeight w:val="403"/>
        </w:trPr>
        <w:tc>
          <w:tcPr>
            <w:tcW w:w="3693" w:type="pct"/>
            <w:shd w:val="clear" w:color="auto" w:fill="FFFFFF" w:themeFill="background1"/>
            <w:vAlign w:val="center"/>
          </w:tcPr>
          <w:p w:rsidR="001C63D1" w:rsidRPr="00BE742F" w:rsidP="001C63D1" w14:paraId="7764F419" w14:textId="1C9182A0">
            <w:pPr>
              <w:pStyle w:val="Lists"/>
              <w:spacing w:before="60" w:after="60"/>
              <w:rPr>
                <w:b/>
                <w:bCs/>
                <w:sz w:val="22"/>
                <w:szCs w:val="22"/>
                <w:lang w:val="en-US"/>
              </w:rPr>
            </w:pPr>
            <w:r w:rsidRPr="00BE742F">
              <w:rPr>
                <w:b/>
                <w:bCs/>
                <w:sz w:val="22"/>
                <w:szCs w:val="22"/>
                <w:lang w:val="en-US"/>
              </w:rPr>
              <w:t xml:space="preserve">Does your health plan’s out-of-pocket maximum (OOPM) for EHB </w:t>
            </w:r>
            <w:r w:rsidR="00E07161">
              <w:rPr>
                <w:b/>
                <w:bCs/>
                <w:sz w:val="22"/>
                <w:szCs w:val="22"/>
                <w:lang w:val="en-US"/>
              </w:rPr>
              <w:t xml:space="preserve">comply with </w:t>
            </w:r>
            <w:r w:rsidRPr="00BE742F">
              <w:rPr>
                <w:b/>
                <w:bCs/>
                <w:sz w:val="22"/>
                <w:szCs w:val="22"/>
                <w:lang w:val="en-US"/>
              </w:rPr>
              <w:t xml:space="preserve">the ACA’s limit (as adjusted for inflation each year)? </w:t>
            </w:r>
          </w:p>
          <w:p w:rsidR="001C63D1" w:rsidRPr="007875B3" w:rsidP="007875B3" w14:paraId="751495A6" w14:textId="549EBA45">
            <w:pPr>
              <w:pStyle w:val="Lists"/>
              <w:spacing w:before="60"/>
              <w:rPr>
                <w:sz w:val="22"/>
                <w:szCs w:val="22"/>
                <w:lang w:val="en-US"/>
              </w:rPr>
            </w:pPr>
            <w:r>
              <w:rPr>
                <w:sz w:val="22"/>
                <w:szCs w:val="22"/>
                <w:lang w:val="en-US"/>
              </w:rPr>
              <w:t>The ACA requires non-grandfathered health plans to comply with an overall annual limit on total enrollee cost sharing for EHB, commonly referred to as an OOPM. For plan years beginning in 2026, the OOPM is $10,600 for self-only coverage and $21,200 for family coverage. These limits increase to $12,000 and $24,000, respectively, for plan years beginning in 2027.</w:t>
            </w:r>
            <w:r w:rsidR="007875B3">
              <w:rPr>
                <w:sz w:val="22"/>
                <w:szCs w:val="22"/>
                <w:lang w:val="en-US"/>
              </w:rPr>
              <w:t xml:space="preserve"> </w:t>
            </w:r>
            <w:r>
              <w:rPr>
                <w:sz w:val="22"/>
                <w:szCs w:val="22"/>
                <w:lang w:val="en-US"/>
              </w:rPr>
              <w:t>Note that if</w:t>
            </w:r>
            <w:r w:rsidRPr="00370C94">
              <w:rPr>
                <w:sz w:val="22"/>
                <w:szCs w:val="22"/>
                <w:lang w:val="en-US"/>
              </w:rPr>
              <w:t xml:space="preserve"> your health plan is a </w:t>
            </w:r>
            <w:r w:rsidRPr="00370C94">
              <w:rPr>
                <w:sz w:val="22"/>
                <w:szCs w:val="22"/>
                <w:lang w:val="en-US"/>
              </w:rPr>
              <w:t>high</w:t>
            </w:r>
            <w:r w:rsidRPr="00370C94">
              <w:rPr>
                <w:sz w:val="22"/>
                <w:szCs w:val="22"/>
                <w:lang w:val="en-US"/>
              </w:rPr>
              <w:t xml:space="preserve"> deductible health plan (HDHP)</w:t>
            </w:r>
            <w:r w:rsidR="0092309C">
              <w:rPr>
                <w:sz w:val="22"/>
                <w:szCs w:val="22"/>
                <w:lang w:val="en-US"/>
              </w:rPr>
              <w:t xml:space="preserve"> </w:t>
            </w:r>
            <w:r w:rsidRPr="00370C94">
              <w:rPr>
                <w:sz w:val="22"/>
                <w:szCs w:val="22"/>
                <w:lang w:val="en-US"/>
              </w:rPr>
              <w:t xml:space="preserve">compatible with health savings account (HSA) contributions, lower cost-sharing limits apply. </w:t>
            </w:r>
          </w:p>
        </w:tc>
        <w:sdt>
          <w:sdtPr>
            <w:rPr>
              <w:sz w:val="28"/>
              <w:szCs w:val="28"/>
            </w:rPr>
            <w:id w:val="-309403939"/>
            <w14:checkbox>
              <w14:checked w14:val="0"/>
              <w14:checkedState w14:val="2612" w14:font="MS Gothic"/>
              <w14:uncheckedState w14:val="2610" w14:font="MS Gothic"/>
            </w14:checkbox>
          </w:sdtPr>
          <w:sdtContent>
            <w:tc>
              <w:tcPr>
                <w:tcW w:w="685" w:type="pct"/>
                <w:shd w:val="clear" w:color="auto" w:fill="FFFFFF" w:themeFill="background1"/>
                <w:vAlign w:val="center"/>
              </w:tcPr>
              <w:p w:rsidR="001C63D1" w:rsidRPr="00DC0DC6" w:rsidP="001C63D1" w14:paraId="31BE0362" w14:textId="6D7766C1">
                <w:pPr>
                  <w:jc w:val="center"/>
                  <w:rPr>
                    <w:sz w:val="28"/>
                    <w:szCs w:val="28"/>
                  </w:rPr>
                </w:pPr>
                <w:r>
                  <w:rPr>
                    <w:rFonts w:ascii="MS Gothic" w:eastAsia="MS Gothic" w:hAnsi="MS Gothic" w:hint="eastAsia"/>
                    <w:sz w:val="28"/>
                    <w:szCs w:val="28"/>
                  </w:rPr>
                  <w:t>☐</w:t>
                </w:r>
              </w:p>
            </w:tc>
          </w:sdtContent>
        </w:sdt>
        <w:sdt>
          <w:sdtPr>
            <w:rPr>
              <w:sz w:val="28"/>
              <w:szCs w:val="28"/>
            </w:rPr>
            <w:id w:val="522681266"/>
            <w14:checkbox>
              <w14:checked w14:val="0"/>
              <w14:checkedState w14:val="2612" w14:font="MS Gothic"/>
              <w14:uncheckedState w14:val="2610" w14:font="MS Gothic"/>
            </w14:checkbox>
          </w:sdtPr>
          <w:sdtContent>
            <w:tc>
              <w:tcPr>
                <w:tcW w:w="622" w:type="pct"/>
                <w:vAlign w:val="center"/>
              </w:tcPr>
              <w:p w:rsidR="001C63D1" w:rsidRPr="00DC0DC6" w:rsidP="001C63D1" w14:paraId="619486AA" w14:textId="18ADDEF8">
                <w:pPr>
                  <w:jc w:val="center"/>
                  <w:rPr>
                    <w:sz w:val="28"/>
                    <w:szCs w:val="28"/>
                  </w:rPr>
                </w:pPr>
                <w:r>
                  <w:rPr>
                    <w:rFonts w:ascii="MS Gothic" w:eastAsia="MS Gothic" w:hAnsi="MS Gothic" w:hint="eastAsia"/>
                    <w:sz w:val="28"/>
                    <w:szCs w:val="28"/>
                  </w:rPr>
                  <w:t>☐</w:t>
                </w:r>
              </w:p>
            </w:tc>
          </w:sdtContent>
        </w:sdt>
      </w:tr>
      <w:tr w14:paraId="775D0F19" w14:textId="399AC1B2" w:rsidTr="00FF587E">
        <w:tblPrEx>
          <w:tblW w:w="5000" w:type="pct"/>
          <w:tblLook w:val="01E0"/>
        </w:tblPrEx>
        <w:trPr>
          <w:trHeight w:val="403"/>
        </w:trPr>
        <w:tc>
          <w:tcPr>
            <w:tcW w:w="3693" w:type="pct"/>
            <w:shd w:val="clear" w:color="auto" w:fill="FFFFFF" w:themeFill="background1"/>
            <w:vAlign w:val="center"/>
          </w:tcPr>
          <w:p w:rsidR="001C63D1" w:rsidP="001C63D1" w14:paraId="40E8CE3A" w14:textId="77777777">
            <w:pPr>
              <w:pStyle w:val="Lists"/>
              <w:spacing w:before="60" w:after="60"/>
              <w:rPr>
                <w:b/>
                <w:bCs/>
                <w:sz w:val="22"/>
                <w:szCs w:val="22"/>
                <w:lang w:val="en-US"/>
              </w:rPr>
            </w:pPr>
            <w:r>
              <w:rPr>
                <w:b/>
                <w:bCs/>
                <w:sz w:val="22"/>
                <w:szCs w:val="22"/>
                <w:lang w:val="en-US"/>
              </w:rPr>
              <w:t xml:space="preserve">Does your health plan cover the latest recommended preventive care services without imposing cost sharing? </w:t>
            </w:r>
          </w:p>
          <w:p w:rsidR="001C63D1" w:rsidRPr="00BE742F" w:rsidP="001C63D1" w14:paraId="1FBE34DE" w14:textId="4BAE0372">
            <w:pPr>
              <w:pStyle w:val="Lists"/>
              <w:spacing w:before="60"/>
              <w:rPr>
                <w:sz w:val="22"/>
                <w:szCs w:val="22"/>
                <w:lang w:val="en-US"/>
              </w:rPr>
            </w:pPr>
            <w:r>
              <w:rPr>
                <w:sz w:val="22"/>
                <w:szCs w:val="22"/>
                <w:lang w:val="en-US"/>
              </w:rPr>
              <w:t>Under the ACA, n</w:t>
            </w:r>
            <w:r w:rsidRPr="00BE742F">
              <w:rPr>
                <w:sz w:val="22"/>
                <w:szCs w:val="22"/>
                <w:lang w:val="en-US"/>
              </w:rPr>
              <w:t>on-grandfathered</w:t>
            </w:r>
            <w:r>
              <w:rPr>
                <w:sz w:val="22"/>
                <w:szCs w:val="22"/>
                <w:lang w:val="en-US"/>
              </w:rPr>
              <w:t xml:space="preserve"> </w:t>
            </w:r>
            <w:r w:rsidRPr="00BE742F">
              <w:rPr>
                <w:sz w:val="22"/>
                <w:szCs w:val="22"/>
                <w:lang w:val="en-US"/>
              </w:rPr>
              <w:t xml:space="preserve">health plans </w:t>
            </w:r>
            <w:r>
              <w:rPr>
                <w:sz w:val="22"/>
                <w:szCs w:val="22"/>
                <w:lang w:val="en-US"/>
              </w:rPr>
              <w:t xml:space="preserve">must </w:t>
            </w:r>
            <w:r w:rsidRPr="00BE742F">
              <w:rPr>
                <w:sz w:val="22"/>
                <w:szCs w:val="22"/>
                <w:lang w:val="en-US"/>
              </w:rPr>
              <w:t xml:space="preserve">cover certain preventive health services without imposing cost-sharing requirements (i.e., deductibles, copayments or </w:t>
            </w:r>
            <w:r w:rsidRPr="00BE742F">
              <w:rPr>
                <w:sz w:val="22"/>
                <w:szCs w:val="22"/>
                <w:lang w:val="en-US"/>
              </w:rPr>
              <w:t>coinsurance</w:t>
            </w:r>
            <w:r w:rsidRPr="00BE742F">
              <w:rPr>
                <w:sz w:val="22"/>
                <w:szCs w:val="22"/>
                <w:lang w:val="en-US"/>
              </w:rPr>
              <w:t xml:space="preserve">) when the services are provided by in-network health care providers. The ACA’s preventive care guidelines are periodically updated based on medical research and recommendations. In general, coverage must be provided for a newly recommended preventive health service or item for plan years beginning on or after the one-year anniversary of when the recommendation was issued. </w:t>
            </w:r>
            <w:r>
              <w:rPr>
                <w:bCs/>
                <w:sz w:val="22"/>
                <w:szCs w:val="22"/>
                <w:lang w:val="en-US"/>
              </w:rPr>
              <w:t xml:space="preserve"> </w:t>
            </w:r>
          </w:p>
        </w:tc>
        <w:sdt>
          <w:sdtPr>
            <w:rPr>
              <w:sz w:val="28"/>
              <w:szCs w:val="28"/>
            </w:rPr>
            <w:id w:val="-598417503"/>
            <w14:checkbox>
              <w14:checked w14:val="0"/>
              <w14:checkedState w14:val="2612" w14:font="MS Gothic"/>
              <w14:uncheckedState w14:val="2610" w14:font="MS Gothic"/>
            </w14:checkbox>
          </w:sdtPr>
          <w:sdtContent>
            <w:tc>
              <w:tcPr>
                <w:tcW w:w="685" w:type="pct"/>
                <w:shd w:val="clear" w:color="auto" w:fill="FFFFFF" w:themeFill="background1"/>
                <w:vAlign w:val="center"/>
              </w:tcPr>
              <w:p w:rsidR="001C63D1" w:rsidRPr="00DC0DC6" w:rsidP="001C63D1" w14:paraId="5EFEFDD7" w14:textId="5E77F75B">
                <w:pPr>
                  <w:jc w:val="center"/>
                  <w:rPr>
                    <w:sz w:val="28"/>
                    <w:szCs w:val="28"/>
                  </w:rPr>
                </w:pPr>
                <w:r>
                  <w:rPr>
                    <w:rFonts w:ascii="MS Gothic" w:eastAsia="MS Gothic" w:hAnsi="MS Gothic" w:hint="eastAsia"/>
                    <w:sz w:val="28"/>
                    <w:szCs w:val="28"/>
                  </w:rPr>
                  <w:t>☐</w:t>
                </w:r>
              </w:p>
            </w:tc>
          </w:sdtContent>
        </w:sdt>
        <w:sdt>
          <w:sdtPr>
            <w:rPr>
              <w:sz w:val="28"/>
              <w:szCs w:val="28"/>
            </w:rPr>
            <w:id w:val="-1998179720"/>
            <w14:checkbox>
              <w14:checked w14:val="0"/>
              <w14:checkedState w14:val="2612" w14:font="MS Gothic"/>
              <w14:uncheckedState w14:val="2610" w14:font="MS Gothic"/>
            </w14:checkbox>
          </w:sdtPr>
          <w:sdtContent>
            <w:tc>
              <w:tcPr>
                <w:tcW w:w="622" w:type="pct"/>
                <w:vAlign w:val="center"/>
              </w:tcPr>
              <w:p w:rsidR="001C63D1" w:rsidRPr="00DC0DC6" w:rsidP="001C63D1" w14:paraId="01059858" w14:textId="193B32DB">
                <w:pPr>
                  <w:jc w:val="center"/>
                  <w:rPr>
                    <w:sz w:val="28"/>
                    <w:szCs w:val="28"/>
                  </w:rPr>
                </w:pPr>
                <w:r w:rsidRPr="00DC0DC6">
                  <w:rPr>
                    <w:rFonts w:ascii="MS Gothic" w:eastAsia="MS Gothic" w:hAnsi="MS Gothic" w:hint="eastAsia"/>
                    <w:sz w:val="28"/>
                    <w:szCs w:val="28"/>
                  </w:rPr>
                  <w:t>☐</w:t>
                </w:r>
              </w:p>
            </w:tc>
          </w:sdtContent>
        </w:sdt>
      </w:tr>
      <w:tr w14:paraId="2518686D" w14:textId="77777777" w:rsidTr="00FF587E">
        <w:tblPrEx>
          <w:tblW w:w="5000" w:type="pct"/>
          <w:tblLook w:val="01E0"/>
        </w:tblPrEx>
        <w:trPr>
          <w:trHeight w:val="403"/>
        </w:trPr>
        <w:tc>
          <w:tcPr>
            <w:tcW w:w="3693" w:type="pct"/>
            <w:shd w:val="clear" w:color="auto" w:fill="FFFFFF" w:themeFill="background1"/>
            <w:vAlign w:val="center"/>
          </w:tcPr>
          <w:p w:rsidR="001C63D1" w:rsidP="001C63D1" w14:paraId="102A46CC" w14:textId="77777777">
            <w:pPr>
              <w:pStyle w:val="Lists"/>
              <w:spacing w:before="60" w:after="60"/>
              <w:rPr>
                <w:b/>
                <w:bCs/>
                <w:sz w:val="22"/>
                <w:szCs w:val="22"/>
                <w:lang w:val="en-US"/>
              </w:rPr>
            </w:pPr>
            <w:r>
              <w:rPr>
                <w:b/>
                <w:bCs/>
                <w:sz w:val="22"/>
                <w:szCs w:val="22"/>
                <w:lang w:val="en-US"/>
              </w:rPr>
              <w:t>Does your health plan cover dependent children up to age 26 (without varying the terms of coverage based on age)?</w:t>
            </w:r>
          </w:p>
          <w:p w:rsidR="001C63D1" w:rsidRPr="00FF587E" w:rsidP="001C63D1" w14:paraId="39891846" w14:textId="05FD6304">
            <w:pPr>
              <w:pStyle w:val="Lists"/>
              <w:spacing w:before="60"/>
              <w:rPr>
                <w:sz w:val="22"/>
                <w:szCs w:val="22"/>
                <w:lang w:val="en-US"/>
              </w:rPr>
            </w:pPr>
            <w:r>
              <w:rPr>
                <w:sz w:val="22"/>
                <w:szCs w:val="22"/>
                <w:lang w:val="en-US"/>
              </w:rPr>
              <w:t>The ACA requires h</w:t>
            </w:r>
            <w:r w:rsidRPr="00FF587E">
              <w:rPr>
                <w:sz w:val="22"/>
                <w:szCs w:val="22"/>
                <w:lang w:val="en-US"/>
              </w:rPr>
              <w:t xml:space="preserve">ealth plans that provide dependent coverage for children </w:t>
            </w:r>
            <w:r>
              <w:rPr>
                <w:sz w:val="22"/>
                <w:szCs w:val="22"/>
                <w:lang w:val="en-US"/>
              </w:rPr>
              <w:t>to</w:t>
            </w:r>
            <w:r w:rsidRPr="00FF587E">
              <w:rPr>
                <w:sz w:val="22"/>
                <w:szCs w:val="22"/>
                <w:lang w:val="en-US"/>
              </w:rPr>
              <w:t xml:space="preserve"> make the coverage available for adult children until they reach age 26. In addition, the terms of the plan providing dependent coverage of children, including premiums charged, cannot vary based on age (except for children who are age 26 or older). </w:t>
            </w:r>
          </w:p>
        </w:tc>
        <w:sdt>
          <w:sdtPr>
            <w:rPr>
              <w:sz w:val="28"/>
              <w:szCs w:val="28"/>
            </w:rPr>
            <w:id w:val="1637615499"/>
            <w14:checkbox>
              <w14:checked w14:val="0"/>
              <w14:checkedState w14:val="2612" w14:font="MS Gothic"/>
              <w14:uncheckedState w14:val="2610" w14:font="MS Gothic"/>
            </w14:checkbox>
          </w:sdtPr>
          <w:sdtContent>
            <w:tc>
              <w:tcPr>
                <w:tcW w:w="685" w:type="pct"/>
                <w:shd w:val="clear" w:color="auto" w:fill="FFFFFF" w:themeFill="background1"/>
                <w:vAlign w:val="center"/>
              </w:tcPr>
              <w:p w:rsidR="001C63D1" w:rsidRPr="00DC0DC6" w:rsidP="001C63D1" w14:paraId="5B751111" w14:textId="114DBA88">
                <w:pPr>
                  <w:jc w:val="center"/>
                  <w:rPr>
                    <w:sz w:val="28"/>
                    <w:szCs w:val="28"/>
                  </w:rPr>
                </w:pPr>
                <w:r w:rsidRPr="00DC0DC6">
                  <w:rPr>
                    <w:rFonts w:ascii="MS Gothic" w:eastAsia="MS Gothic" w:hAnsi="MS Gothic" w:hint="eastAsia"/>
                    <w:sz w:val="28"/>
                    <w:szCs w:val="28"/>
                  </w:rPr>
                  <w:t>☐</w:t>
                </w:r>
              </w:p>
            </w:tc>
          </w:sdtContent>
        </w:sdt>
        <w:sdt>
          <w:sdtPr>
            <w:rPr>
              <w:sz w:val="28"/>
              <w:szCs w:val="28"/>
            </w:rPr>
            <w:id w:val="-1489090450"/>
            <w14:checkbox>
              <w14:checked w14:val="0"/>
              <w14:checkedState w14:val="2612" w14:font="MS Gothic"/>
              <w14:uncheckedState w14:val="2610" w14:font="MS Gothic"/>
            </w14:checkbox>
          </w:sdtPr>
          <w:sdtContent>
            <w:tc>
              <w:tcPr>
                <w:tcW w:w="622" w:type="pct"/>
                <w:vAlign w:val="center"/>
              </w:tcPr>
              <w:p w:rsidR="001C63D1" w:rsidRPr="00DC0DC6" w:rsidP="001C63D1" w14:paraId="351C98A3" w14:textId="480FD596">
                <w:pPr>
                  <w:jc w:val="center"/>
                  <w:rPr>
                    <w:sz w:val="28"/>
                    <w:szCs w:val="28"/>
                  </w:rPr>
                </w:pPr>
                <w:r w:rsidRPr="00DC0DC6">
                  <w:rPr>
                    <w:rFonts w:ascii="MS Gothic" w:eastAsia="MS Gothic" w:hAnsi="MS Gothic" w:hint="eastAsia"/>
                    <w:sz w:val="28"/>
                    <w:szCs w:val="28"/>
                  </w:rPr>
                  <w:t>☐</w:t>
                </w:r>
              </w:p>
            </w:tc>
          </w:sdtContent>
        </w:sdt>
      </w:tr>
      <w:tr w14:paraId="24D782DE" w14:textId="77777777" w:rsidTr="00FF587E">
        <w:tblPrEx>
          <w:tblW w:w="5000" w:type="pct"/>
          <w:tblLook w:val="01E0"/>
        </w:tblPrEx>
        <w:trPr>
          <w:trHeight w:val="403"/>
        </w:trPr>
        <w:tc>
          <w:tcPr>
            <w:tcW w:w="3693" w:type="pct"/>
            <w:shd w:val="clear" w:color="auto" w:fill="FFFFFF" w:themeFill="background1"/>
            <w:vAlign w:val="center"/>
          </w:tcPr>
          <w:p w:rsidR="001C63D1" w:rsidP="001C63D1" w14:paraId="181A543C" w14:textId="56F4855C">
            <w:pPr>
              <w:pStyle w:val="Lists"/>
              <w:spacing w:before="60" w:after="60"/>
              <w:rPr>
                <w:b/>
                <w:bCs/>
                <w:sz w:val="22"/>
                <w:szCs w:val="22"/>
                <w:lang w:val="en-US"/>
              </w:rPr>
            </w:pPr>
            <w:r>
              <w:rPr>
                <w:b/>
                <w:bCs/>
                <w:sz w:val="22"/>
                <w:szCs w:val="22"/>
                <w:lang w:val="en-US"/>
              </w:rPr>
              <w:t xml:space="preserve">Does your health plan </w:t>
            </w:r>
            <w:r w:rsidR="00E07161">
              <w:rPr>
                <w:b/>
                <w:bCs/>
                <w:sz w:val="22"/>
                <w:szCs w:val="22"/>
                <w:lang w:val="en-US"/>
              </w:rPr>
              <w:t xml:space="preserve">comply with the ACA’s prohibition on </w:t>
            </w:r>
            <w:r>
              <w:rPr>
                <w:b/>
                <w:bCs/>
                <w:sz w:val="22"/>
                <w:szCs w:val="22"/>
                <w:lang w:val="en-US"/>
              </w:rPr>
              <w:t xml:space="preserve">preexisting condition exclusions? </w:t>
            </w:r>
          </w:p>
          <w:p w:rsidR="001C63D1" w:rsidRPr="00FF587E" w:rsidP="001C63D1" w14:paraId="0BC0F636" w14:textId="5D4CD8F9">
            <w:pPr>
              <w:pStyle w:val="Lists"/>
              <w:spacing w:before="60"/>
              <w:rPr>
                <w:sz w:val="22"/>
                <w:szCs w:val="22"/>
                <w:lang w:val="en-US"/>
              </w:rPr>
            </w:pPr>
            <w:r>
              <w:rPr>
                <w:sz w:val="22"/>
                <w:szCs w:val="22"/>
                <w:lang w:val="en-US"/>
              </w:rPr>
              <w:t xml:space="preserve">The ACA prohibits health plans from imposing preexisting condition exclusions. </w:t>
            </w:r>
            <w:r w:rsidRPr="00FF587E">
              <w:rPr>
                <w:sz w:val="22"/>
                <w:szCs w:val="22"/>
                <w:lang w:val="en-US"/>
              </w:rPr>
              <w:t xml:space="preserve">A preexisting condition exclusion is a limitation or exclusion of benefits related to a condition </w:t>
            </w:r>
            <w:r w:rsidRPr="00FF587E">
              <w:rPr>
                <w:sz w:val="22"/>
                <w:szCs w:val="22"/>
                <w:lang w:val="en-US"/>
              </w:rPr>
              <w:t>based on the fact that</w:t>
            </w:r>
            <w:r w:rsidRPr="00FF587E">
              <w:rPr>
                <w:sz w:val="22"/>
                <w:szCs w:val="22"/>
                <w:lang w:val="en-US"/>
              </w:rPr>
              <w:t xml:space="preserve"> the condition was present before the date of enrollment for the coverage, </w:t>
            </w:r>
            <w:r w:rsidR="00187E37">
              <w:rPr>
                <w:sz w:val="22"/>
                <w:szCs w:val="22"/>
                <w:lang w:val="en-US"/>
              </w:rPr>
              <w:t>regardless of whether</w:t>
            </w:r>
            <w:r w:rsidRPr="00FF587E">
              <w:rPr>
                <w:sz w:val="22"/>
                <w:szCs w:val="22"/>
                <w:lang w:val="en-US"/>
              </w:rPr>
              <w:t xml:space="preserve"> any medical advice, diagnosis, care or treatment was recommended or received before that date.</w:t>
            </w:r>
          </w:p>
        </w:tc>
        <w:sdt>
          <w:sdtPr>
            <w:rPr>
              <w:sz w:val="28"/>
              <w:szCs w:val="28"/>
            </w:rPr>
            <w:id w:val="-129941348"/>
            <w14:checkbox>
              <w14:checked w14:val="0"/>
              <w14:checkedState w14:val="2612" w14:font="MS Gothic"/>
              <w14:uncheckedState w14:val="2610" w14:font="MS Gothic"/>
            </w14:checkbox>
          </w:sdtPr>
          <w:sdtContent>
            <w:tc>
              <w:tcPr>
                <w:tcW w:w="685" w:type="pct"/>
                <w:shd w:val="clear" w:color="auto" w:fill="FFFFFF" w:themeFill="background1"/>
                <w:vAlign w:val="center"/>
              </w:tcPr>
              <w:p w:rsidR="001C63D1" w:rsidRPr="00DC0DC6" w:rsidP="001C63D1" w14:paraId="04B233F6" w14:textId="1F3BC9FD">
                <w:pPr>
                  <w:jc w:val="center"/>
                  <w:rPr>
                    <w:sz w:val="28"/>
                    <w:szCs w:val="28"/>
                  </w:rPr>
                </w:pPr>
                <w:r w:rsidRPr="00DC0DC6">
                  <w:rPr>
                    <w:rFonts w:ascii="MS Gothic" w:eastAsia="MS Gothic" w:hAnsi="MS Gothic" w:hint="eastAsia"/>
                    <w:sz w:val="28"/>
                    <w:szCs w:val="28"/>
                  </w:rPr>
                  <w:t>☐</w:t>
                </w:r>
              </w:p>
            </w:tc>
          </w:sdtContent>
        </w:sdt>
        <w:sdt>
          <w:sdtPr>
            <w:rPr>
              <w:sz w:val="28"/>
              <w:szCs w:val="28"/>
            </w:rPr>
            <w:id w:val="-1491634852"/>
            <w14:checkbox>
              <w14:checked w14:val="0"/>
              <w14:checkedState w14:val="2612" w14:font="MS Gothic"/>
              <w14:uncheckedState w14:val="2610" w14:font="MS Gothic"/>
            </w14:checkbox>
          </w:sdtPr>
          <w:sdtContent>
            <w:tc>
              <w:tcPr>
                <w:tcW w:w="622" w:type="pct"/>
                <w:vAlign w:val="center"/>
              </w:tcPr>
              <w:p w:rsidR="001C63D1" w:rsidRPr="00DC0DC6" w:rsidP="001C63D1" w14:paraId="43801CA3" w14:textId="2352DCE9">
                <w:pPr>
                  <w:jc w:val="center"/>
                  <w:rPr>
                    <w:sz w:val="28"/>
                    <w:szCs w:val="28"/>
                  </w:rPr>
                </w:pPr>
                <w:r w:rsidRPr="00DC0DC6">
                  <w:rPr>
                    <w:rFonts w:ascii="MS Gothic" w:eastAsia="MS Gothic" w:hAnsi="MS Gothic" w:hint="eastAsia"/>
                    <w:sz w:val="28"/>
                    <w:szCs w:val="28"/>
                  </w:rPr>
                  <w:t>☐</w:t>
                </w:r>
              </w:p>
            </w:tc>
          </w:sdtContent>
        </w:sdt>
      </w:tr>
      <w:tr w14:paraId="5F4857DA" w14:textId="77777777" w:rsidTr="00FF587E">
        <w:tblPrEx>
          <w:tblW w:w="5000" w:type="pct"/>
          <w:tblLook w:val="01E0"/>
        </w:tblPrEx>
        <w:trPr>
          <w:trHeight w:val="403"/>
        </w:trPr>
        <w:tc>
          <w:tcPr>
            <w:tcW w:w="3693" w:type="pct"/>
            <w:shd w:val="clear" w:color="auto" w:fill="FFFFFF" w:themeFill="background1"/>
            <w:vAlign w:val="center"/>
          </w:tcPr>
          <w:p w:rsidR="001C63D1" w:rsidP="001C63D1" w14:paraId="0E3BBB15" w14:textId="1C30895C">
            <w:pPr>
              <w:pStyle w:val="Lists"/>
              <w:spacing w:before="60" w:after="60"/>
              <w:rPr>
                <w:b/>
                <w:bCs/>
                <w:sz w:val="22"/>
                <w:szCs w:val="22"/>
                <w:lang w:val="en-US"/>
              </w:rPr>
            </w:pPr>
            <w:r>
              <w:rPr>
                <w:b/>
                <w:bCs/>
                <w:sz w:val="22"/>
                <w:szCs w:val="22"/>
                <w:lang w:val="en-US"/>
              </w:rPr>
              <w:t xml:space="preserve">Does your health plan </w:t>
            </w:r>
            <w:r w:rsidR="00E07161">
              <w:rPr>
                <w:b/>
                <w:bCs/>
                <w:sz w:val="22"/>
                <w:szCs w:val="22"/>
                <w:lang w:val="en-US"/>
              </w:rPr>
              <w:t xml:space="preserve">comply with the ACA’s prohibition on </w:t>
            </w:r>
            <w:r>
              <w:rPr>
                <w:b/>
                <w:bCs/>
                <w:sz w:val="22"/>
                <w:szCs w:val="22"/>
                <w:lang w:val="en-US"/>
              </w:rPr>
              <w:t>discriminat</w:t>
            </w:r>
            <w:r w:rsidR="00E07161">
              <w:rPr>
                <w:b/>
                <w:bCs/>
                <w:sz w:val="22"/>
                <w:szCs w:val="22"/>
                <w:lang w:val="en-US"/>
              </w:rPr>
              <w:t>ion</w:t>
            </w:r>
            <w:r>
              <w:rPr>
                <w:b/>
                <w:bCs/>
                <w:sz w:val="22"/>
                <w:szCs w:val="22"/>
                <w:lang w:val="en-US"/>
              </w:rPr>
              <w:t xml:space="preserve"> against plan participants who participate in clinical trials?</w:t>
            </w:r>
          </w:p>
          <w:p w:rsidR="001C63D1" w:rsidRPr="00B10341" w:rsidP="001C63D1" w14:paraId="6384B918" w14:textId="49CAC838">
            <w:pPr>
              <w:pStyle w:val="Lists"/>
              <w:spacing w:before="60"/>
              <w:rPr>
                <w:sz w:val="22"/>
                <w:szCs w:val="22"/>
                <w:lang w:val="en-US"/>
              </w:rPr>
            </w:pPr>
            <w:r>
              <w:rPr>
                <w:sz w:val="22"/>
                <w:szCs w:val="22"/>
                <w:lang w:val="en-US"/>
              </w:rPr>
              <w:t xml:space="preserve">Under the ACA, non-grandfathered health plans cannot terminate coverage because an individual participates in an approved clinical trial or deny </w:t>
            </w:r>
            <w:r>
              <w:rPr>
                <w:sz w:val="22"/>
                <w:szCs w:val="22"/>
                <w:lang w:val="en-US"/>
              </w:rPr>
              <w:t>coverage for routine medical care that would otherwise be provided just because an individual is enrolled in a clinical trial.</w:t>
            </w:r>
          </w:p>
        </w:tc>
        <w:sdt>
          <w:sdtPr>
            <w:rPr>
              <w:sz w:val="28"/>
              <w:szCs w:val="28"/>
            </w:rPr>
            <w:id w:val="1164669300"/>
            <w14:checkbox>
              <w14:checked w14:val="0"/>
              <w14:checkedState w14:val="2612" w14:font="MS Gothic"/>
              <w14:uncheckedState w14:val="2610" w14:font="MS Gothic"/>
            </w14:checkbox>
          </w:sdtPr>
          <w:sdtContent>
            <w:tc>
              <w:tcPr>
                <w:tcW w:w="685" w:type="pct"/>
                <w:shd w:val="clear" w:color="auto" w:fill="FFFFFF" w:themeFill="background1"/>
                <w:vAlign w:val="center"/>
              </w:tcPr>
              <w:p w:rsidR="001C63D1" w:rsidRPr="00DC0DC6" w:rsidP="001C63D1" w14:paraId="75BDC6A6" w14:textId="1C0FB91F">
                <w:pPr>
                  <w:jc w:val="center"/>
                  <w:rPr>
                    <w:sz w:val="28"/>
                    <w:szCs w:val="28"/>
                  </w:rPr>
                </w:pPr>
                <w:r w:rsidRPr="00DC0DC6">
                  <w:rPr>
                    <w:rFonts w:ascii="MS Gothic" w:eastAsia="MS Gothic" w:hAnsi="MS Gothic" w:hint="eastAsia"/>
                    <w:sz w:val="28"/>
                    <w:szCs w:val="28"/>
                  </w:rPr>
                  <w:t>☐</w:t>
                </w:r>
              </w:p>
            </w:tc>
          </w:sdtContent>
        </w:sdt>
        <w:sdt>
          <w:sdtPr>
            <w:rPr>
              <w:sz w:val="28"/>
              <w:szCs w:val="28"/>
            </w:rPr>
            <w:id w:val="-1580511144"/>
            <w14:checkbox>
              <w14:checked w14:val="0"/>
              <w14:checkedState w14:val="2612" w14:font="MS Gothic"/>
              <w14:uncheckedState w14:val="2610" w14:font="MS Gothic"/>
            </w14:checkbox>
          </w:sdtPr>
          <w:sdtContent>
            <w:tc>
              <w:tcPr>
                <w:tcW w:w="622" w:type="pct"/>
                <w:vAlign w:val="center"/>
              </w:tcPr>
              <w:p w:rsidR="001C63D1" w:rsidRPr="00DC0DC6" w:rsidP="001C63D1" w14:paraId="0C7AD4F4" w14:textId="31AF3816">
                <w:pPr>
                  <w:jc w:val="center"/>
                  <w:rPr>
                    <w:sz w:val="28"/>
                    <w:szCs w:val="28"/>
                  </w:rPr>
                </w:pPr>
                <w:r w:rsidRPr="00DC0DC6">
                  <w:rPr>
                    <w:rFonts w:ascii="MS Gothic" w:eastAsia="MS Gothic" w:hAnsi="MS Gothic" w:hint="eastAsia"/>
                    <w:sz w:val="28"/>
                    <w:szCs w:val="28"/>
                  </w:rPr>
                  <w:t>☐</w:t>
                </w:r>
              </w:p>
            </w:tc>
          </w:sdtContent>
        </w:sdt>
      </w:tr>
      <w:tr w14:paraId="032BC647" w14:textId="77777777" w:rsidTr="00FF587E">
        <w:tblPrEx>
          <w:tblW w:w="5000" w:type="pct"/>
          <w:tblLook w:val="01E0"/>
        </w:tblPrEx>
        <w:trPr>
          <w:trHeight w:val="403"/>
        </w:trPr>
        <w:tc>
          <w:tcPr>
            <w:tcW w:w="3693" w:type="pct"/>
            <w:shd w:val="clear" w:color="auto" w:fill="FFFFFF" w:themeFill="background1"/>
            <w:vAlign w:val="center"/>
          </w:tcPr>
          <w:p w:rsidR="001C63D1" w:rsidP="001C63D1" w14:paraId="16F3DEA2" w14:textId="3A8EC551">
            <w:pPr>
              <w:pStyle w:val="Lists"/>
              <w:spacing w:before="60" w:after="60"/>
              <w:rPr>
                <w:b/>
                <w:bCs/>
                <w:sz w:val="22"/>
                <w:szCs w:val="22"/>
                <w:lang w:val="en-US"/>
              </w:rPr>
            </w:pPr>
            <w:r>
              <w:rPr>
                <w:b/>
                <w:bCs/>
                <w:sz w:val="22"/>
                <w:szCs w:val="22"/>
                <w:lang w:val="en-US"/>
              </w:rPr>
              <w:t>D</w:t>
            </w:r>
            <w:r w:rsidR="00134583">
              <w:rPr>
                <w:b/>
                <w:bCs/>
                <w:sz w:val="22"/>
                <w:szCs w:val="22"/>
                <w:lang w:val="en-US"/>
              </w:rPr>
              <w:t>o</w:t>
            </w:r>
            <w:r w:rsidR="00981487">
              <w:rPr>
                <w:b/>
                <w:bCs/>
                <w:sz w:val="22"/>
                <w:szCs w:val="22"/>
                <w:lang w:val="en-US"/>
              </w:rPr>
              <w:t>es</w:t>
            </w:r>
            <w:r w:rsidR="00134583">
              <w:rPr>
                <w:b/>
                <w:bCs/>
                <w:sz w:val="22"/>
                <w:szCs w:val="22"/>
                <w:lang w:val="en-US"/>
              </w:rPr>
              <w:t xml:space="preserve"> you</w:t>
            </w:r>
            <w:r w:rsidR="00981487">
              <w:rPr>
                <w:b/>
                <w:bCs/>
                <w:sz w:val="22"/>
                <w:szCs w:val="22"/>
                <w:lang w:val="en-US"/>
              </w:rPr>
              <w:t>r health plan</w:t>
            </w:r>
            <w:r w:rsidR="00134583">
              <w:rPr>
                <w:b/>
                <w:bCs/>
                <w:sz w:val="22"/>
                <w:szCs w:val="22"/>
                <w:lang w:val="en-US"/>
              </w:rPr>
              <w:t xml:space="preserve"> comply with the ACA’s </w:t>
            </w:r>
            <w:r>
              <w:rPr>
                <w:b/>
                <w:bCs/>
                <w:sz w:val="22"/>
                <w:szCs w:val="22"/>
                <w:lang w:val="en-US"/>
              </w:rPr>
              <w:t>prohibit</w:t>
            </w:r>
            <w:r w:rsidR="00134583">
              <w:rPr>
                <w:b/>
                <w:bCs/>
                <w:sz w:val="22"/>
                <w:szCs w:val="22"/>
                <w:lang w:val="en-US"/>
              </w:rPr>
              <w:t>ion on</w:t>
            </w:r>
            <w:r>
              <w:rPr>
                <w:b/>
                <w:bCs/>
                <w:sz w:val="22"/>
                <w:szCs w:val="22"/>
                <w:lang w:val="en-US"/>
              </w:rPr>
              <w:t xml:space="preserve"> rescissions of </w:t>
            </w:r>
            <w:r w:rsidR="00134583">
              <w:rPr>
                <w:b/>
                <w:bCs/>
                <w:sz w:val="22"/>
                <w:szCs w:val="22"/>
                <w:lang w:val="en-US"/>
              </w:rPr>
              <w:t xml:space="preserve">health </w:t>
            </w:r>
            <w:r>
              <w:rPr>
                <w:b/>
                <w:bCs/>
                <w:sz w:val="22"/>
                <w:szCs w:val="22"/>
                <w:lang w:val="en-US"/>
              </w:rPr>
              <w:t>coverage</w:t>
            </w:r>
            <w:r>
              <w:rPr>
                <w:b/>
                <w:bCs/>
                <w:sz w:val="22"/>
                <w:szCs w:val="22"/>
                <w:lang w:val="en-US"/>
              </w:rPr>
              <w:t xml:space="preserve">? </w:t>
            </w:r>
          </w:p>
          <w:p w:rsidR="001C63D1" w:rsidRPr="005504D6" w:rsidP="001C63D1" w14:paraId="05212D56" w14:textId="5D543D8D">
            <w:pPr>
              <w:pStyle w:val="Lists"/>
              <w:spacing w:before="60"/>
              <w:rPr>
                <w:sz w:val="22"/>
                <w:szCs w:val="22"/>
                <w:lang w:val="en-US"/>
              </w:rPr>
            </w:pPr>
            <w:r>
              <w:rPr>
                <w:sz w:val="22"/>
                <w:szCs w:val="22"/>
                <w:lang w:val="en-US"/>
              </w:rPr>
              <w:t>The ACA prohibits h</w:t>
            </w:r>
            <w:r w:rsidRPr="005504D6">
              <w:rPr>
                <w:sz w:val="22"/>
                <w:szCs w:val="22"/>
                <w:lang w:val="en-US"/>
              </w:rPr>
              <w:t xml:space="preserve">ealth plans </w:t>
            </w:r>
            <w:r>
              <w:rPr>
                <w:sz w:val="22"/>
                <w:szCs w:val="22"/>
                <w:lang w:val="en-US"/>
              </w:rPr>
              <w:t xml:space="preserve">from </w:t>
            </w:r>
            <w:r w:rsidRPr="005504D6">
              <w:rPr>
                <w:sz w:val="22"/>
                <w:szCs w:val="22"/>
                <w:lang w:val="en-US"/>
              </w:rPr>
              <w:t>rescind</w:t>
            </w:r>
            <w:r>
              <w:rPr>
                <w:sz w:val="22"/>
                <w:szCs w:val="22"/>
                <w:lang w:val="en-US"/>
              </w:rPr>
              <w:t>ing</w:t>
            </w:r>
            <w:r w:rsidRPr="005504D6">
              <w:rPr>
                <w:sz w:val="22"/>
                <w:szCs w:val="22"/>
                <w:lang w:val="en-US"/>
              </w:rPr>
              <w:t xml:space="preserve"> coverage for covered individuals, unless there is fraud or an individual makes an intentional misrepresentation of a material fact. A cancellation of coverage is not considered a rescission if </w:t>
            </w:r>
            <w:r w:rsidR="00711881">
              <w:rPr>
                <w:sz w:val="22"/>
                <w:szCs w:val="22"/>
                <w:lang w:val="en-US"/>
              </w:rPr>
              <w:t xml:space="preserve">it </w:t>
            </w:r>
            <w:r>
              <w:rPr>
                <w:sz w:val="22"/>
                <w:szCs w:val="22"/>
                <w:lang w:val="en-US"/>
              </w:rPr>
              <w:t>h</w:t>
            </w:r>
            <w:r w:rsidRPr="005504D6">
              <w:rPr>
                <w:sz w:val="22"/>
                <w:szCs w:val="22"/>
                <w:lang w:val="en-US"/>
              </w:rPr>
              <w:t>as only a prospective (future) effect</w:t>
            </w:r>
            <w:r>
              <w:rPr>
                <w:sz w:val="22"/>
                <w:szCs w:val="22"/>
                <w:lang w:val="en-US"/>
              </w:rPr>
              <w:t xml:space="preserve"> or i</w:t>
            </w:r>
            <w:r w:rsidRPr="005504D6">
              <w:rPr>
                <w:sz w:val="22"/>
                <w:szCs w:val="22"/>
                <w:lang w:val="en-US"/>
              </w:rPr>
              <w:t xml:space="preserve">s effective retroactively </w:t>
            </w:r>
            <w:r w:rsidR="00711881">
              <w:rPr>
                <w:sz w:val="22"/>
                <w:szCs w:val="22"/>
                <w:lang w:val="en-US"/>
              </w:rPr>
              <w:t>due</w:t>
            </w:r>
            <w:r w:rsidRPr="005504D6">
              <w:rPr>
                <w:sz w:val="22"/>
                <w:szCs w:val="22"/>
                <w:lang w:val="en-US"/>
              </w:rPr>
              <w:t xml:space="preserve"> to a failure to timely pay required premiums or contributions toward the cost of coverage.</w:t>
            </w:r>
            <w:r>
              <w:rPr>
                <w:sz w:val="22"/>
                <w:szCs w:val="22"/>
                <w:lang w:val="en-US"/>
              </w:rPr>
              <w:t xml:space="preserve"> </w:t>
            </w:r>
            <w:r w:rsidRPr="005504D6">
              <w:rPr>
                <w:sz w:val="22"/>
                <w:szCs w:val="22"/>
                <w:lang w:val="en-US"/>
              </w:rPr>
              <w:t xml:space="preserve">When a rescission is permitted, health plans must provide at least 30 calendar days’ advance notice to each </w:t>
            </w:r>
            <w:r w:rsidR="00844519">
              <w:rPr>
                <w:sz w:val="22"/>
                <w:szCs w:val="22"/>
                <w:lang w:val="en-US"/>
              </w:rPr>
              <w:t xml:space="preserve">affected </w:t>
            </w:r>
            <w:r w:rsidRPr="005504D6">
              <w:rPr>
                <w:sz w:val="22"/>
                <w:szCs w:val="22"/>
                <w:lang w:val="en-US"/>
              </w:rPr>
              <w:t>participant before coverage may be rescinded.</w:t>
            </w:r>
          </w:p>
        </w:tc>
        <w:sdt>
          <w:sdtPr>
            <w:rPr>
              <w:sz w:val="28"/>
              <w:szCs w:val="28"/>
            </w:rPr>
            <w:id w:val="1176763262"/>
            <w14:checkbox>
              <w14:checked w14:val="0"/>
              <w14:checkedState w14:val="2612" w14:font="MS Gothic"/>
              <w14:uncheckedState w14:val="2610" w14:font="MS Gothic"/>
            </w14:checkbox>
          </w:sdtPr>
          <w:sdtContent>
            <w:tc>
              <w:tcPr>
                <w:tcW w:w="685" w:type="pct"/>
                <w:shd w:val="clear" w:color="auto" w:fill="FFFFFF" w:themeFill="background1"/>
                <w:vAlign w:val="center"/>
              </w:tcPr>
              <w:p w:rsidR="001C63D1" w:rsidRPr="00DC0DC6" w:rsidP="001C63D1" w14:paraId="64D4E36E" w14:textId="607F1EF2">
                <w:pPr>
                  <w:jc w:val="center"/>
                  <w:rPr>
                    <w:sz w:val="28"/>
                    <w:szCs w:val="28"/>
                  </w:rPr>
                </w:pPr>
                <w:r>
                  <w:rPr>
                    <w:rFonts w:ascii="MS Gothic" w:eastAsia="MS Gothic" w:hAnsi="MS Gothic" w:hint="eastAsia"/>
                    <w:sz w:val="28"/>
                    <w:szCs w:val="28"/>
                  </w:rPr>
                  <w:t>☐</w:t>
                </w:r>
              </w:p>
            </w:tc>
          </w:sdtContent>
        </w:sdt>
        <w:sdt>
          <w:sdtPr>
            <w:rPr>
              <w:sz w:val="28"/>
              <w:szCs w:val="28"/>
            </w:rPr>
            <w:id w:val="-805086922"/>
            <w14:checkbox>
              <w14:checked w14:val="0"/>
              <w14:checkedState w14:val="2612" w14:font="MS Gothic"/>
              <w14:uncheckedState w14:val="2610" w14:font="MS Gothic"/>
            </w14:checkbox>
          </w:sdtPr>
          <w:sdtContent>
            <w:tc>
              <w:tcPr>
                <w:tcW w:w="622" w:type="pct"/>
                <w:vAlign w:val="center"/>
              </w:tcPr>
              <w:p w:rsidR="001C63D1" w:rsidRPr="00DC0DC6" w:rsidP="001C63D1" w14:paraId="5625CCB9" w14:textId="0AF03E1C">
                <w:pPr>
                  <w:jc w:val="center"/>
                  <w:rPr>
                    <w:sz w:val="28"/>
                    <w:szCs w:val="28"/>
                  </w:rPr>
                </w:pPr>
                <w:r w:rsidRPr="00DC0DC6">
                  <w:rPr>
                    <w:rFonts w:ascii="MS Gothic" w:eastAsia="MS Gothic" w:hAnsi="MS Gothic" w:hint="eastAsia"/>
                    <w:sz w:val="28"/>
                    <w:szCs w:val="28"/>
                  </w:rPr>
                  <w:t>☐</w:t>
                </w:r>
              </w:p>
            </w:tc>
          </w:sdtContent>
        </w:sdt>
      </w:tr>
      <w:tr w14:paraId="4DA5B8DF" w14:textId="77777777" w:rsidTr="00FF587E">
        <w:tblPrEx>
          <w:tblW w:w="5000" w:type="pct"/>
          <w:tblLook w:val="01E0"/>
        </w:tblPrEx>
        <w:trPr>
          <w:trHeight w:val="403"/>
        </w:trPr>
        <w:tc>
          <w:tcPr>
            <w:tcW w:w="3693" w:type="pct"/>
            <w:shd w:val="clear" w:color="auto" w:fill="FFFFFF" w:themeFill="background1"/>
            <w:vAlign w:val="center"/>
          </w:tcPr>
          <w:p w:rsidR="00357B31" w:rsidP="00357B31" w14:paraId="779A4906" w14:textId="2CDDB84B">
            <w:pPr>
              <w:pStyle w:val="Lists"/>
              <w:spacing w:before="60" w:after="60"/>
              <w:rPr>
                <w:b/>
                <w:bCs/>
                <w:sz w:val="22"/>
                <w:szCs w:val="22"/>
                <w:lang w:val="en-US"/>
              </w:rPr>
            </w:pPr>
            <w:r>
              <w:rPr>
                <w:b/>
                <w:bCs/>
                <w:sz w:val="22"/>
                <w:szCs w:val="22"/>
                <w:lang w:val="en-US"/>
              </w:rPr>
              <w:t xml:space="preserve">Does your health plan comply with </w:t>
            </w:r>
            <w:r w:rsidR="008C4256">
              <w:rPr>
                <w:b/>
                <w:bCs/>
                <w:sz w:val="22"/>
                <w:szCs w:val="22"/>
                <w:lang w:val="en-US"/>
              </w:rPr>
              <w:t xml:space="preserve">the ACA’s </w:t>
            </w:r>
            <w:r>
              <w:rPr>
                <w:b/>
                <w:bCs/>
                <w:sz w:val="22"/>
                <w:szCs w:val="22"/>
                <w:lang w:val="en-US"/>
              </w:rPr>
              <w:t xml:space="preserve">patient protections for designating a primary care provider and covering benefits for emergency services? </w:t>
            </w:r>
          </w:p>
          <w:p w:rsidR="00357B31" w:rsidRPr="003730C5" w:rsidP="00357B31" w14:paraId="27EE005A" w14:textId="28C3992D">
            <w:pPr>
              <w:pStyle w:val="Lists"/>
              <w:spacing w:before="60" w:after="60"/>
              <w:rPr>
                <w:sz w:val="22"/>
                <w:szCs w:val="22"/>
                <w:lang w:val="en-US"/>
              </w:rPr>
            </w:pPr>
            <w:r w:rsidRPr="003730C5">
              <w:rPr>
                <w:sz w:val="22"/>
                <w:szCs w:val="22"/>
                <w:lang w:val="en-US"/>
              </w:rPr>
              <w:t xml:space="preserve">Health plans that require designation of a participating primary care provider must permit </w:t>
            </w:r>
            <w:r>
              <w:rPr>
                <w:sz w:val="22"/>
                <w:szCs w:val="22"/>
                <w:lang w:val="en-US"/>
              </w:rPr>
              <w:t>covered individuals</w:t>
            </w:r>
            <w:r w:rsidRPr="003730C5">
              <w:rPr>
                <w:sz w:val="22"/>
                <w:szCs w:val="22"/>
                <w:lang w:val="en-US"/>
              </w:rPr>
              <w:t xml:space="preserve"> to designate any available participating primary care provider (including a pediatrician for children)</w:t>
            </w:r>
            <w:r>
              <w:rPr>
                <w:sz w:val="22"/>
                <w:szCs w:val="22"/>
                <w:lang w:val="en-US"/>
              </w:rPr>
              <w:t xml:space="preserve"> and cannot </w:t>
            </w:r>
            <w:r w:rsidRPr="003730C5">
              <w:rPr>
                <w:sz w:val="22"/>
                <w:szCs w:val="22"/>
                <w:lang w:val="en-US"/>
              </w:rPr>
              <w:t>require preauthorization or referral for obstetrical</w:t>
            </w:r>
            <w:r>
              <w:rPr>
                <w:sz w:val="22"/>
                <w:szCs w:val="22"/>
                <w:lang w:val="en-US"/>
              </w:rPr>
              <w:t xml:space="preserve"> or </w:t>
            </w:r>
            <w:r w:rsidRPr="003730C5">
              <w:rPr>
                <w:sz w:val="22"/>
                <w:szCs w:val="22"/>
                <w:lang w:val="en-US"/>
              </w:rPr>
              <w:t>gynecological care.</w:t>
            </w:r>
          </w:p>
          <w:p w:rsidR="00357B31" w:rsidRPr="003730C5" w:rsidP="00357B31" w14:paraId="606E131B" w14:textId="2CB70380">
            <w:pPr>
              <w:pStyle w:val="Lists"/>
              <w:spacing w:before="60" w:after="60"/>
              <w:rPr>
                <w:sz w:val="22"/>
                <w:szCs w:val="22"/>
                <w:lang w:val="en-US"/>
              </w:rPr>
            </w:pPr>
            <w:r w:rsidRPr="003730C5">
              <w:rPr>
                <w:sz w:val="22"/>
                <w:szCs w:val="22"/>
                <w:lang w:val="en-US"/>
              </w:rPr>
              <w:t xml:space="preserve">Health plans </w:t>
            </w:r>
            <w:r>
              <w:rPr>
                <w:sz w:val="22"/>
                <w:szCs w:val="22"/>
                <w:lang w:val="en-US"/>
              </w:rPr>
              <w:t>must</w:t>
            </w:r>
            <w:r w:rsidRPr="003730C5">
              <w:rPr>
                <w:sz w:val="22"/>
                <w:szCs w:val="22"/>
                <w:lang w:val="en-US"/>
              </w:rPr>
              <w:t xml:space="preserve"> provide benefits for emergency services without requiring prior authorization, and without regard to whether the provider is an in-network provider. Also, </w:t>
            </w:r>
            <w:r>
              <w:rPr>
                <w:sz w:val="22"/>
                <w:szCs w:val="22"/>
                <w:lang w:val="en-US"/>
              </w:rPr>
              <w:t xml:space="preserve">health plans </w:t>
            </w:r>
            <w:r w:rsidRPr="003730C5">
              <w:rPr>
                <w:sz w:val="22"/>
                <w:szCs w:val="22"/>
                <w:lang w:val="en-US"/>
              </w:rPr>
              <w:t xml:space="preserve">may not impose requirements or limitations on out-of-network emergency services that are more restrictive than those applicable to in-network emergency services. </w:t>
            </w:r>
            <w:r w:rsidRPr="003730C5" w:rsidR="00C76C57">
              <w:rPr>
                <w:sz w:val="22"/>
                <w:szCs w:val="22"/>
                <w:lang w:val="en-US"/>
              </w:rPr>
              <w:t>Cost</w:t>
            </w:r>
            <w:r w:rsidR="00C76C57">
              <w:rPr>
                <w:sz w:val="22"/>
                <w:szCs w:val="22"/>
                <w:lang w:val="en-US"/>
              </w:rPr>
              <w:t>-</w:t>
            </w:r>
            <w:r w:rsidRPr="003730C5">
              <w:rPr>
                <w:sz w:val="22"/>
                <w:szCs w:val="22"/>
                <w:lang w:val="en-US"/>
              </w:rPr>
              <w:t>sharing requirements, such as copayments or coinsurance rates imposed for out-of-network emergency services, cannot exceed the cost-sharing requirements for in-network emergency services.</w:t>
            </w:r>
          </w:p>
        </w:tc>
        <w:sdt>
          <w:sdtPr>
            <w:rPr>
              <w:sz w:val="28"/>
              <w:szCs w:val="28"/>
            </w:rPr>
            <w:id w:val="2100366865"/>
            <w14:checkbox>
              <w14:checked w14:val="0"/>
              <w14:checkedState w14:val="2612" w14:font="MS Gothic"/>
              <w14:uncheckedState w14:val="2610" w14:font="MS Gothic"/>
            </w14:checkbox>
          </w:sdtPr>
          <w:sdtContent>
            <w:tc>
              <w:tcPr>
                <w:tcW w:w="685" w:type="pct"/>
                <w:shd w:val="clear" w:color="auto" w:fill="FFFFFF" w:themeFill="background1"/>
                <w:vAlign w:val="center"/>
              </w:tcPr>
              <w:p w:rsidR="00357B31" w:rsidRPr="00DC0DC6" w:rsidP="00357B31" w14:paraId="79DFDA95" w14:textId="7E9F56EB">
                <w:pPr>
                  <w:jc w:val="center"/>
                  <w:rPr>
                    <w:sz w:val="28"/>
                    <w:szCs w:val="28"/>
                  </w:rPr>
                </w:pPr>
                <w:r>
                  <w:rPr>
                    <w:rFonts w:ascii="MS Gothic" w:eastAsia="MS Gothic" w:hAnsi="MS Gothic" w:hint="eastAsia"/>
                    <w:sz w:val="28"/>
                    <w:szCs w:val="28"/>
                  </w:rPr>
                  <w:t>☐</w:t>
                </w:r>
              </w:p>
            </w:tc>
          </w:sdtContent>
        </w:sdt>
        <w:sdt>
          <w:sdtPr>
            <w:rPr>
              <w:sz w:val="28"/>
              <w:szCs w:val="28"/>
            </w:rPr>
            <w:id w:val="-228077892"/>
            <w14:checkbox>
              <w14:checked w14:val="0"/>
              <w14:checkedState w14:val="2612" w14:font="MS Gothic"/>
              <w14:uncheckedState w14:val="2610" w14:font="MS Gothic"/>
            </w14:checkbox>
          </w:sdtPr>
          <w:sdtContent>
            <w:tc>
              <w:tcPr>
                <w:tcW w:w="622" w:type="pct"/>
                <w:vAlign w:val="center"/>
              </w:tcPr>
              <w:p w:rsidR="00357B31" w:rsidRPr="00DC0DC6" w:rsidP="00357B31" w14:paraId="1BD175ED" w14:textId="546E966A">
                <w:pPr>
                  <w:jc w:val="center"/>
                  <w:rPr>
                    <w:sz w:val="28"/>
                    <w:szCs w:val="28"/>
                  </w:rPr>
                </w:pPr>
                <w:r w:rsidRPr="00DC0DC6">
                  <w:rPr>
                    <w:rFonts w:ascii="MS Gothic" w:eastAsia="MS Gothic" w:hAnsi="MS Gothic" w:hint="eastAsia"/>
                    <w:sz w:val="28"/>
                    <w:szCs w:val="28"/>
                  </w:rPr>
                  <w:t>☐</w:t>
                </w:r>
              </w:p>
            </w:tc>
          </w:sdtContent>
        </w:sdt>
      </w:tr>
      <w:tr w14:paraId="11D706D1" w14:textId="77777777" w:rsidTr="00FF587E">
        <w:tblPrEx>
          <w:tblW w:w="5000" w:type="pct"/>
          <w:tblLook w:val="01E0"/>
        </w:tblPrEx>
        <w:trPr>
          <w:trHeight w:val="403"/>
        </w:trPr>
        <w:tc>
          <w:tcPr>
            <w:tcW w:w="3693" w:type="pct"/>
            <w:shd w:val="clear" w:color="auto" w:fill="FFFFFF" w:themeFill="background1"/>
            <w:vAlign w:val="center"/>
          </w:tcPr>
          <w:p w:rsidR="00357B31" w:rsidP="00357B31" w14:paraId="6EF7622F" w14:textId="5E0EC183">
            <w:pPr>
              <w:pStyle w:val="Lists"/>
              <w:spacing w:before="60" w:after="60"/>
              <w:rPr>
                <w:b/>
                <w:bCs/>
                <w:sz w:val="22"/>
                <w:szCs w:val="22"/>
                <w:lang w:val="en-US"/>
              </w:rPr>
            </w:pPr>
            <w:r>
              <w:rPr>
                <w:b/>
                <w:bCs/>
                <w:sz w:val="22"/>
                <w:szCs w:val="22"/>
                <w:lang w:val="en-US"/>
              </w:rPr>
              <w:t xml:space="preserve">Does your health plan’s coverage for mental health and substance use disorder (MH/SUD) benefits comply with federal parity requirements? </w:t>
            </w:r>
          </w:p>
          <w:p w:rsidR="00357B31" w:rsidRPr="00D44AC5" w:rsidP="00357B31" w14:paraId="7CCE0851" w14:textId="2836AE8F">
            <w:pPr>
              <w:pStyle w:val="Lists"/>
              <w:spacing w:before="60" w:after="60"/>
              <w:rPr>
                <w:sz w:val="22"/>
                <w:szCs w:val="22"/>
                <w:lang w:val="en-US"/>
              </w:rPr>
            </w:pPr>
            <w:r w:rsidRPr="00D44AC5">
              <w:rPr>
                <w:sz w:val="22"/>
                <w:szCs w:val="22"/>
                <w:lang w:val="en-US"/>
              </w:rPr>
              <w:t xml:space="preserve">The Mental Health Parity and Addiction Equity Act of 2008 (MHPAEA) </w:t>
            </w:r>
            <w:r w:rsidRPr="00D44AC5">
              <w:rPr>
                <w:sz w:val="22"/>
                <w:szCs w:val="22"/>
                <w:lang w:val="en-US"/>
              </w:rPr>
              <w:t>requires</w:t>
            </w:r>
            <w:r w:rsidRPr="00D44AC5">
              <w:rPr>
                <w:sz w:val="22"/>
                <w:szCs w:val="22"/>
                <w:lang w:val="en-US"/>
              </w:rPr>
              <w:t xml:space="preserve"> parity between a group health plan’s medical</w:t>
            </w:r>
            <w:r>
              <w:rPr>
                <w:sz w:val="22"/>
                <w:szCs w:val="22"/>
                <w:lang w:val="en-US"/>
              </w:rPr>
              <w:t xml:space="preserve"> </w:t>
            </w:r>
            <w:r w:rsidRPr="00D44AC5">
              <w:rPr>
                <w:sz w:val="22"/>
                <w:szCs w:val="22"/>
                <w:lang w:val="en-US"/>
              </w:rPr>
              <w:t xml:space="preserve">and surgical (M/S) benefits and its MH/SUD benefits. In general, MHPAEA requires </w:t>
            </w:r>
            <w:r>
              <w:rPr>
                <w:sz w:val="22"/>
                <w:szCs w:val="22"/>
                <w:lang w:val="en-US"/>
              </w:rPr>
              <w:t xml:space="preserve">health </w:t>
            </w:r>
            <w:r w:rsidRPr="00D44AC5">
              <w:rPr>
                <w:sz w:val="22"/>
                <w:szCs w:val="22"/>
                <w:lang w:val="en-US"/>
              </w:rPr>
              <w:t>plan</w:t>
            </w:r>
            <w:r>
              <w:rPr>
                <w:sz w:val="22"/>
                <w:szCs w:val="22"/>
                <w:lang w:val="en-US"/>
              </w:rPr>
              <w:t xml:space="preserve">s </w:t>
            </w:r>
            <w:r w:rsidRPr="00D44AC5">
              <w:rPr>
                <w:sz w:val="22"/>
                <w:szCs w:val="22"/>
                <w:lang w:val="en-US"/>
              </w:rPr>
              <w:t>to:</w:t>
            </w:r>
          </w:p>
          <w:p w:rsidR="00357B31" w:rsidRPr="00D44AC5" w:rsidP="00357B31" w14:paraId="0721FE25" w14:textId="77777777">
            <w:pPr>
              <w:pStyle w:val="Lists"/>
              <w:numPr>
                <w:ilvl w:val="0"/>
                <w:numId w:val="17"/>
              </w:numPr>
              <w:spacing w:before="60" w:after="60"/>
              <w:rPr>
                <w:sz w:val="22"/>
                <w:szCs w:val="22"/>
                <w:lang w:val="en-US"/>
              </w:rPr>
            </w:pPr>
            <w:r w:rsidRPr="00D44AC5">
              <w:rPr>
                <w:sz w:val="22"/>
                <w:szCs w:val="22"/>
                <w:lang w:val="en-US"/>
              </w:rPr>
              <w:t>Offer the same access to care and patient costs for MH/SUD benefits as those that apply to M/S benefits;</w:t>
            </w:r>
          </w:p>
          <w:p w:rsidR="00357B31" w:rsidRPr="00D44AC5" w:rsidP="00357B31" w14:paraId="5AC4F6D5" w14:textId="11D236AA">
            <w:pPr>
              <w:pStyle w:val="Lists"/>
              <w:numPr>
                <w:ilvl w:val="0"/>
                <w:numId w:val="17"/>
              </w:numPr>
              <w:spacing w:before="60" w:after="60"/>
              <w:rPr>
                <w:sz w:val="22"/>
                <w:szCs w:val="22"/>
                <w:lang w:val="en-US"/>
              </w:rPr>
            </w:pPr>
            <w:r w:rsidRPr="00D44AC5">
              <w:rPr>
                <w:sz w:val="22"/>
                <w:szCs w:val="22"/>
                <w:lang w:val="en-US"/>
              </w:rPr>
              <w:t>Treat MH/SUD coverage and M/S coverage equally in terms of out-of-pocket costs, benefit limits and practices</w:t>
            </w:r>
            <w:r w:rsidR="00C76C57">
              <w:rPr>
                <w:sz w:val="22"/>
                <w:szCs w:val="22"/>
                <w:lang w:val="en-US"/>
              </w:rPr>
              <w:t>,</w:t>
            </w:r>
            <w:r w:rsidRPr="00D44AC5">
              <w:rPr>
                <w:sz w:val="22"/>
                <w:szCs w:val="22"/>
                <w:lang w:val="en-US"/>
              </w:rPr>
              <w:t xml:space="preserve"> such as</w:t>
            </w:r>
            <w:r>
              <w:rPr>
                <w:sz w:val="22"/>
                <w:szCs w:val="22"/>
                <w:lang w:val="en-US"/>
              </w:rPr>
              <w:t xml:space="preserve"> </w:t>
            </w:r>
            <w:r w:rsidRPr="00D44AC5">
              <w:rPr>
                <w:sz w:val="22"/>
                <w:szCs w:val="22"/>
                <w:lang w:val="en-US"/>
              </w:rPr>
              <w:t>prior authorization and utilization review; and</w:t>
            </w:r>
          </w:p>
          <w:p w:rsidR="00357B31" w:rsidRPr="00D44AC5" w:rsidP="00357B31" w14:paraId="513E4323" w14:textId="77777777">
            <w:pPr>
              <w:pStyle w:val="Lists"/>
              <w:numPr>
                <w:ilvl w:val="0"/>
                <w:numId w:val="17"/>
              </w:numPr>
              <w:spacing w:before="60" w:after="60"/>
              <w:rPr>
                <w:sz w:val="22"/>
                <w:szCs w:val="22"/>
                <w:lang w:val="en-US"/>
              </w:rPr>
            </w:pPr>
            <w:r w:rsidRPr="00D44AC5">
              <w:rPr>
                <w:sz w:val="22"/>
                <w:szCs w:val="22"/>
                <w:lang w:val="en-US"/>
              </w:rPr>
              <w:t>Contain a single combined deductible for MH/SUD coverage and M/S coverage.</w:t>
            </w:r>
          </w:p>
          <w:p w:rsidR="00D770AF" w:rsidP="00357B31" w14:paraId="6A6B0F1B" w14:textId="2CA3A3BF">
            <w:pPr>
              <w:pStyle w:val="Lists"/>
              <w:spacing w:before="60" w:after="60"/>
              <w:rPr>
                <w:sz w:val="22"/>
                <w:szCs w:val="22"/>
                <w:lang w:val="en-US"/>
              </w:rPr>
            </w:pPr>
            <w:r>
              <w:rPr>
                <w:sz w:val="22"/>
                <w:szCs w:val="22"/>
                <w:lang w:val="en-US"/>
              </w:rPr>
              <w:t xml:space="preserve">Employers should watch for </w:t>
            </w:r>
            <w:hyperlink r:id="rId12" w:history="1">
              <w:r w:rsidRPr="00BF57D9" w:rsidR="006055F5">
                <w:rPr>
                  <w:rStyle w:val="Hyperlink"/>
                  <w:sz w:val="22"/>
                  <w:szCs w:val="22"/>
                  <w:lang w:val="en-US"/>
                </w:rPr>
                <w:t>warning signs</w:t>
              </w:r>
            </w:hyperlink>
            <w:r>
              <w:rPr>
                <w:sz w:val="22"/>
                <w:szCs w:val="22"/>
                <w:lang w:val="en-US"/>
              </w:rPr>
              <w:t xml:space="preserve"> of MHP</w:t>
            </w:r>
            <w:r w:rsidR="003940DD">
              <w:rPr>
                <w:sz w:val="22"/>
                <w:szCs w:val="22"/>
                <w:lang w:val="en-US"/>
              </w:rPr>
              <w:t>A</w:t>
            </w:r>
            <w:r>
              <w:rPr>
                <w:sz w:val="22"/>
                <w:szCs w:val="22"/>
                <w:lang w:val="en-US"/>
              </w:rPr>
              <w:t>EA noncompliance</w:t>
            </w:r>
            <w:r w:rsidR="00BF57D9">
              <w:rPr>
                <w:sz w:val="22"/>
                <w:szCs w:val="22"/>
                <w:lang w:val="en-US"/>
              </w:rPr>
              <w:t xml:space="preserve"> in their plan design</w:t>
            </w:r>
            <w:r>
              <w:rPr>
                <w:sz w:val="22"/>
                <w:szCs w:val="22"/>
                <w:lang w:val="en-US"/>
              </w:rPr>
              <w:t xml:space="preserve">. </w:t>
            </w:r>
          </w:p>
          <w:p w:rsidR="00357B31" w:rsidRPr="00D44AC5" w:rsidP="00357B31" w14:paraId="61835468" w14:textId="2CC7072D">
            <w:pPr>
              <w:pStyle w:val="Lists"/>
              <w:spacing w:before="60" w:after="60"/>
              <w:rPr>
                <w:sz w:val="22"/>
                <w:szCs w:val="22"/>
                <w:lang w:val="en-US"/>
              </w:rPr>
            </w:pPr>
            <w:r w:rsidRPr="00D44AC5">
              <w:rPr>
                <w:sz w:val="22"/>
                <w:szCs w:val="22"/>
                <w:lang w:val="en-US"/>
              </w:rPr>
              <w:t>MHPAEA’s parity requirements apply to group health plans sponsored by employers with more than 50 employees. However,</w:t>
            </w:r>
            <w:r>
              <w:rPr>
                <w:sz w:val="22"/>
                <w:szCs w:val="22"/>
                <w:lang w:val="en-US"/>
              </w:rPr>
              <w:t xml:space="preserve"> </w:t>
            </w:r>
            <w:r w:rsidRPr="00D44AC5">
              <w:rPr>
                <w:sz w:val="22"/>
                <w:szCs w:val="22"/>
                <w:lang w:val="en-US"/>
              </w:rPr>
              <w:t xml:space="preserve">due to an </w:t>
            </w:r>
            <w:r>
              <w:rPr>
                <w:sz w:val="22"/>
                <w:szCs w:val="22"/>
                <w:lang w:val="en-US"/>
              </w:rPr>
              <w:t>A</w:t>
            </w:r>
            <w:r w:rsidRPr="00D44AC5">
              <w:rPr>
                <w:sz w:val="22"/>
                <w:szCs w:val="22"/>
                <w:lang w:val="en-US"/>
              </w:rPr>
              <w:t xml:space="preserve">CA reform, </w:t>
            </w:r>
            <w:r w:rsidRPr="000C7FDB">
              <w:rPr>
                <w:i/>
                <w:iCs/>
                <w:sz w:val="22"/>
                <w:szCs w:val="22"/>
                <w:lang w:val="en-US"/>
              </w:rPr>
              <w:t>insured health plans in the small group market</w:t>
            </w:r>
            <w:r w:rsidRPr="00D44AC5">
              <w:rPr>
                <w:sz w:val="22"/>
                <w:szCs w:val="22"/>
                <w:lang w:val="en-US"/>
              </w:rPr>
              <w:t xml:space="preserve"> must also comply with federal</w:t>
            </w:r>
            <w:r>
              <w:rPr>
                <w:sz w:val="22"/>
                <w:szCs w:val="22"/>
                <w:lang w:val="en-US"/>
              </w:rPr>
              <w:t xml:space="preserve"> </w:t>
            </w:r>
            <w:r w:rsidRPr="00D44AC5">
              <w:rPr>
                <w:sz w:val="22"/>
                <w:szCs w:val="22"/>
                <w:lang w:val="en-US"/>
              </w:rPr>
              <w:t>parity requirements for MH/SUD benefits.</w:t>
            </w:r>
          </w:p>
        </w:tc>
        <w:sdt>
          <w:sdtPr>
            <w:rPr>
              <w:sz w:val="28"/>
              <w:szCs w:val="28"/>
            </w:rPr>
            <w:id w:val="1457060775"/>
            <w14:checkbox>
              <w14:checked w14:val="0"/>
              <w14:checkedState w14:val="2612" w14:font="MS Gothic"/>
              <w14:uncheckedState w14:val="2610" w14:font="MS Gothic"/>
            </w14:checkbox>
          </w:sdtPr>
          <w:sdtContent>
            <w:tc>
              <w:tcPr>
                <w:tcW w:w="685" w:type="pct"/>
                <w:shd w:val="clear" w:color="auto" w:fill="FFFFFF" w:themeFill="background1"/>
                <w:vAlign w:val="center"/>
              </w:tcPr>
              <w:p w:rsidR="00357B31" w:rsidRPr="00DC0DC6" w:rsidP="00357B31" w14:paraId="0649FC77" w14:textId="3029B1E8">
                <w:pPr>
                  <w:jc w:val="center"/>
                  <w:rPr>
                    <w:sz w:val="28"/>
                    <w:szCs w:val="28"/>
                  </w:rPr>
                </w:pPr>
                <w:r>
                  <w:rPr>
                    <w:rFonts w:ascii="MS Gothic" w:eastAsia="MS Gothic" w:hAnsi="MS Gothic" w:hint="eastAsia"/>
                    <w:sz w:val="28"/>
                    <w:szCs w:val="28"/>
                  </w:rPr>
                  <w:t>☐</w:t>
                </w:r>
              </w:p>
            </w:tc>
          </w:sdtContent>
        </w:sdt>
        <w:sdt>
          <w:sdtPr>
            <w:rPr>
              <w:sz w:val="28"/>
              <w:szCs w:val="28"/>
            </w:rPr>
            <w:id w:val="-1825426291"/>
            <w14:checkbox>
              <w14:checked w14:val="0"/>
              <w14:checkedState w14:val="2612" w14:font="MS Gothic"/>
              <w14:uncheckedState w14:val="2610" w14:font="MS Gothic"/>
            </w14:checkbox>
          </w:sdtPr>
          <w:sdtContent>
            <w:tc>
              <w:tcPr>
                <w:tcW w:w="622" w:type="pct"/>
                <w:vAlign w:val="center"/>
              </w:tcPr>
              <w:p w:rsidR="00357B31" w:rsidRPr="00DC0DC6" w:rsidP="00357B31" w14:paraId="5F671D2C" w14:textId="5A083014">
                <w:pPr>
                  <w:jc w:val="center"/>
                  <w:rPr>
                    <w:sz w:val="28"/>
                    <w:szCs w:val="28"/>
                  </w:rPr>
                </w:pPr>
                <w:r w:rsidRPr="00DC0DC6">
                  <w:rPr>
                    <w:rFonts w:ascii="MS Gothic" w:eastAsia="MS Gothic" w:hAnsi="MS Gothic" w:hint="eastAsia"/>
                    <w:sz w:val="28"/>
                    <w:szCs w:val="28"/>
                  </w:rPr>
                  <w:t>☐</w:t>
                </w:r>
              </w:p>
            </w:tc>
          </w:sdtContent>
        </w:sdt>
      </w:tr>
      <w:tr w14:paraId="4809A089" w14:textId="77777777" w:rsidTr="00FF587E">
        <w:tblPrEx>
          <w:tblW w:w="5000" w:type="pct"/>
          <w:tblLook w:val="01E0"/>
        </w:tblPrEx>
        <w:trPr>
          <w:trHeight w:val="403"/>
        </w:trPr>
        <w:tc>
          <w:tcPr>
            <w:tcW w:w="3693" w:type="pct"/>
            <w:shd w:val="clear" w:color="auto" w:fill="FFFFFF" w:themeFill="background1"/>
            <w:vAlign w:val="center"/>
          </w:tcPr>
          <w:p w:rsidR="00357B31" w:rsidP="00357B31" w14:paraId="18FF5C60" w14:textId="0919C801">
            <w:pPr>
              <w:pStyle w:val="Lists"/>
              <w:spacing w:before="60" w:after="60"/>
              <w:rPr>
                <w:b/>
                <w:bCs/>
                <w:sz w:val="22"/>
                <w:szCs w:val="22"/>
                <w:lang w:val="en-US"/>
              </w:rPr>
            </w:pPr>
            <w:r>
              <w:rPr>
                <w:b/>
                <w:bCs/>
                <w:sz w:val="22"/>
                <w:szCs w:val="22"/>
                <w:lang w:val="en-US"/>
              </w:rPr>
              <w:t xml:space="preserve">Does your health plan provide special enrollment rights after certain life events? </w:t>
            </w:r>
          </w:p>
          <w:p w:rsidR="00357B31" w:rsidRPr="000644A7" w:rsidP="00357B31" w14:paraId="702D1EC3" w14:textId="57985BC0">
            <w:pPr>
              <w:pStyle w:val="Lists"/>
              <w:spacing w:before="60" w:after="60"/>
              <w:rPr>
                <w:sz w:val="22"/>
                <w:szCs w:val="22"/>
                <w:lang w:val="en-US"/>
              </w:rPr>
            </w:pPr>
            <w:r w:rsidRPr="000644A7">
              <w:rPr>
                <w:sz w:val="22"/>
                <w:szCs w:val="22"/>
                <w:lang w:val="en-US"/>
              </w:rPr>
              <w:t xml:space="preserve">The Health Insurance Portability and Accountability Act (HIPAA) </w:t>
            </w:r>
            <w:r w:rsidRPr="000644A7">
              <w:rPr>
                <w:sz w:val="22"/>
                <w:szCs w:val="22"/>
                <w:lang w:val="en-US"/>
              </w:rPr>
              <w:t>requires</w:t>
            </w:r>
            <w:r w:rsidRPr="000644A7">
              <w:rPr>
                <w:sz w:val="22"/>
                <w:szCs w:val="22"/>
                <w:lang w:val="en-US"/>
              </w:rPr>
              <w:t xml:space="preserve"> health plans to provide special enrollment opportunities outside of the</w:t>
            </w:r>
            <w:r w:rsidR="00122F4D">
              <w:rPr>
                <w:sz w:val="22"/>
                <w:szCs w:val="22"/>
                <w:lang w:val="en-US"/>
              </w:rPr>
              <w:t xml:space="preserve">ir </w:t>
            </w:r>
            <w:r w:rsidRPr="000644A7">
              <w:rPr>
                <w:sz w:val="22"/>
                <w:szCs w:val="22"/>
                <w:lang w:val="en-US"/>
              </w:rPr>
              <w:t xml:space="preserve">regular enrollment periods in </w:t>
            </w:r>
            <w:r>
              <w:rPr>
                <w:sz w:val="22"/>
                <w:szCs w:val="22"/>
                <w:lang w:val="en-US"/>
              </w:rPr>
              <w:t xml:space="preserve">the following situations: </w:t>
            </w:r>
          </w:p>
          <w:p w:rsidR="00357B31" w:rsidP="00357B31" w14:paraId="020BF449" w14:textId="77777777">
            <w:pPr>
              <w:pStyle w:val="Lists"/>
              <w:numPr>
                <w:ilvl w:val="0"/>
                <w:numId w:val="18"/>
              </w:numPr>
              <w:spacing w:before="60" w:after="60"/>
              <w:rPr>
                <w:sz w:val="22"/>
                <w:szCs w:val="22"/>
                <w:lang w:val="en-US"/>
              </w:rPr>
            </w:pPr>
            <w:r w:rsidRPr="003C53CC">
              <w:rPr>
                <w:sz w:val="22"/>
                <w:szCs w:val="22"/>
                <w:lang w:val="en-US"/>
              </w:rPr>
              <w:t>An employee (or dependent) loses eligibility for other health coverage;</w:t>
            </w:r>
          </w:p>
          <w:p w:rsidR="00357B31" w:rsidP="00357B31" w14:paraId="5E1ED749" w14:textId="2716589B">
            <w:pPr>
              <w:pStyle w:val="Lists"/>
              <w:numPr>
                <w:ilvl w:val="0"/>
                <w:numId w:val="18"/>
              </w:numPr>
              <w:spacing w:before="60" w:after="60"/>
              <w:rPr>
                <w:sz w:val="22"/>
                <w:szCs w:val="22"/>
                <w:lang w:val="en-US"/>
              </w:rPr>
            </w:pPr>
            <w:r>
              <w:rPr>
                <w:sz w:val="22"/>
                <w:szCs w:val="22"/>
                <w:lang w:val="en-US"/>
              </w:rPr>
              <w:t xml:space="preserve">An employee’s (or dependent’s) coverage under </w:t>
            </w:r>
            <w:r w:rsidRPr="003C53CC">
              <w:rPr>
                <w:sz w:val="22"/>
                <w:szCs w:val="22"/>
                <w:lang w:val="en-US"/>
              </w:rPr>
              <w:t>Medicaid or a state Children’s Health Insurance Program (CHIP)</w:t>
            </w:r>
            <w:r>
              <w:rPr>
                <w:sz w:val="22"/>
                <w:szCs w:val="22"/>
                <w:lang w:val="en-US"/>
              </w:rPr>
              <w:t xml:space="preserve"> </w:t>
            </w:r>
            <w:r w:rsidR="00123951">
              <w:rPr>
                <w:sz w:val="22"/>
                <w:szCs w:val="22"/>
                <w:lang w:val="en-US"/>
              </w:rPr>
              <w:t xml:space="preserve">ends </w:t>
            </w:r>
            <w:r>
              <w:rPr>
                <w:sz w:val="22"/>
                <w:szCs w:val="22"/>
                <w:lang w:val="en-US"/>
              </w:rPr>
              <w:t>due to a loss of eligibility</w:t>
            </w:r>
            <w:r w:rsidRPr="003C53CC">
              <w:rPr>
                <w:sz w:val="22"/>
                <w:szCs w:val="22"/>
                <w:lang w:val="en-US"/>
              </w:rPr>
              <w:t>;</w:t>
            </w:r>
          </w:p>
          <w:p w:rsidR="00357B31" w:rsidP="00357B31" w14:paraId="0F7118EC" w14:textId="77777777">
            <w:pPr>
              <w:pStyle w:val="Lists"/>
              <w:numPr>
                <w:ilvl w:val="0"/>
                <w:numId w:val="18"/>
              </w:numPr>
              <w:spacing w:before="60" w:after="60"/>
              <w:rPr>
                <w:sz w:val="22"/>
                <w:szCs w:val="22"/>
                <w:lang w:val="en-US"/>
              </w:rPr>
            </w:pPr>
            <w:r>
              <w:rPr>
                <w:sz w:val="22"/>
                <w:szCs w:val="22"/>
                <w:lang w:val="en-US"/>
              </w:rPr>
              <w:t>An employee acquires a</w:t>
            </w:r>
            <w:r w:rsidRPr="00F54ADA">
              <w:rPr>
                <w:sz w:val="22"/>
                <w:szCs w:val="22"/>
                <w:lang w:val="en-US"/>
              </w:rPr>
              <w:t xml:space="preserve"> new spouse or dependent by marriage, birth, adoption or placement for adoption; and</w:t>
            </w:r>
          </w:p>
          <w:p w:rsidR="00357B31" w:rsidRPr="000A2603" w:rsidP="00357B31" w14:paraId="6B4F1127" w14:textId="7539D743">
            <w:pPr>
              <w:pStyle w:val="Lists"/>
              <w:numPr>
                <w:ilvl w:val="0"/>
                <w:numId w:val="18"/>
              </w:numPr>
              <w:spacing w:before="60" w:after="60"/>
              <w:rPr>
                <w:sz w:val="22"/>
                <w:szCs w:val="22"/>
                <w:lang w:val="en-US"/>
              </w:rPr>
            </w:pPr>
            <w:r>
              <w:rPr>
                <w:sz w:val="22"/>
                <w:szCs w:val="22"/>
                <w:lang w:val="en-US"/>
              </w:rPr>
              <w:t xml:space="preserve">An employee (or dependent) becomes </w:t>
            </w:r>
            <w:r w:rsidRPr="000A2603">
              <w:rPr>
                <w:sz w:val="22"/>
                <w:szCs w:val="22"/>
                <w:lang w:val="en-US"/>
              </w:rPr>
              <w:t>eligible for a premium assistance subsidy under Medicaid or a state CHIP.</w:t>
            </w:r>
          </w:p>
        </w:tc>
        <w:sdt>
          <w:sdtPr>
            <w:rPr>
              <w:sz w:val="28"/>
              <w:szCs w:val="28"/>
            </w:rPr>
            <w:id w:val="-2091461336"/>
            <w14:checkbox>
              <w14:checked w14:val="0"/>
              <w14:checkedState w14:val="2612" w14:font="MS Gothic"/>
              <w14:uncheckedState w14:val="2610" w14:font="MS Gothic"/>
            </w14:checkbox>
          </w:sdtPr>
          <w:sdtContent>
            <w:tc>
              <w:tcPr>
                <w:tcW w:w="685" w:type="pct"/>
                <w:shd w:val="clear" w:color="auto" w:fill="FFFFFF" w:themeFill="background1"/>
                <w:vAlign w:val="center"/>
              </w:tcPr>
              <w:p w:rsidR="00357B31" w:rsidRPr="00DC0DC6" w:rsidP="00357B31" w14:paraId="5351F58F" w14:textId="135EEE93">
                <w:pPr>
                  <w:jc w:val="center"/>
                  <w:rPr>
                    <w:sz w:val="28"/>
                    <w:szCs w:val="28"/>
                  </w:rPr>
                </w:pPr>
                <w:r>
                  <w:rPr>
                    <w:rFonts w:ascii="MS Gothic" w:eastAsia="MS Gothic" w:hAnsi="MS Gothic" w:hint="eastAsia"/>
                    <w:sz w:val="28"/>
                    <w:szCs w:val="28"/>
                  </w:rPr>
                  <w:t>☐</w:t>
                </w:r>
              </w:p>
            </w:tc>
          </w:sdtContent>
        </w:sdt>
        <w:sdt>
          <w:sdtPr>
            <w:rPr>
              <w:sz w:val="28"/>
              <w:szCs w:val="28"/>
            </w:rPr>
            <w:id w:val="-810329064"/>
            <w14:checkbox>
              <w14:checked w14:val="0"/>
              <w14:checkedState w14:val="2612" w14:font="MS Gothic"/>
              <w14:uncheckedState w14:val="2610" w14:font="MS Gothic"/>
            </w14:checkbox>
          </w:sdtPr>
          <w:sdtContent>
            <w:tc>
              <w:tcPr>
                <w:tcW w:w="622" w:type="pct"/>
                <w:vAlign w:val="center"/>
              </w:tcPr>
              <w:p w:rsidR="00357B31" w:rsidRPr="00DC0DC6" w:rsidP="00357B31" w14:paraId="0A465A7A" w14:textId="21FF48D7">
                <w:pPr>
                  <w:jc w:val="center"/>
                  <w:rPr>
                    <w:sz w:val="28"/>
                    <w:szCs w:val="28"/>
                  </w:rPr>
                </w:pPr>
                <w:r w:rsidRPr="00DC0DC6">
                  <w:rPr>
                    <w:rFonts w:ascii="MS Gothic" w:eastAsia="MS Gothic" w:hAnsi="MS Gothic" w:hint="eastAsia"/>
                    <w:sz w:val="28"/>
                    <w:szCs w:val="28"/>
                  </w:rPr>
                  <w:t>☐</w:t>
                </w:r>
              </w:p>
            </w:tc>
          </w:sdtContent>
        </w:sdt>
      </w:tr>
      <w:tr w14:paraId="31032123" w14:textId="77777777" w:rsidTr="00FF587E">
        <w:tblPrEx>
          <w:tblW w:w="5000" w:type="pct"/>
          <w:tblLook w:val="01E0"/>
        </w:tblPrEx>
        <w:trPr>
          <w:trHeight w:val="403"/>
        </w:trPr>
        <w:tc>
          <w:tcPr>
            <w:tcW w:w="3693" w:type="pct"/>
            <w:shd w:val="clear" w:color="auto" w:fill="FFFFFF" w:themeFill="background1"/>
            <w:vAlign w:val="center"/>
          </w:tcPr>
          <w:p w:rsidR="00A70D8C" w:rsidP="00A70D8C" w14:paraId="576B9A60" w14:textId="77777777">
            <w:pPr>
              <w:pStyle w:val="Lists"/>
              <w:spacing w:before="60" w:after="60"/>
              <w:rPr>
                <w:b/>
                <w:bCs/>
                <w:sz w:val="22"/>
                <w:szCs w:val="22"/>
                <w:lang w:val="en-US"/>
              </w:rPr>
            </w:pPr>
            <w:r>
              <w:rPr>
                <w:b/>
                <w:bCs/>
                <w:sz w:val="22"/>
                <w:szCs w:val="22"/>
                <w:lang w:val="en-US"/>
              </w:rPr>
              <w:t xml:space="preserve">Does your health plan extend coverage to children in accordance with qualified medical child support orders (QMCSOs)? </w:t>
            </w:r>
          </w:p>
          <w:p w:rsidR="00A70D8C" w:rsidRPr="00D63688" w:rsidP="00A70D8C" w14:paraId="5BBD4D90" w14:textId="7DCC0879">
            <w:pPr>
              <w:pStyle w:val="Lists"/>
              <w:spacing w:before="60" w:after="60"/>
              <w:rPr>
                <w:sz w:val="22"/>
                <w:szCs w:val="22"/>
                <w:lang w:val="en-US"/>
              </w:rPr>
            </w:pPr>
            <w:r w:rsidRPr="00D63688">
              <w:rPr>
                <w:sz w:val="22"/>
                <w:szCs w:val="22"/>
                <w:lang w:val="en-US"/>
              </w:rPr>
              <w:t>The Employee Retirement Income Security Act (ERISA) requires health plans to extend</w:t>
            </w:r>
            <w:r>
              <w:rPr>
                <w:sz w:val="22"/>
                <w:szCs w:val="22"/>
                <w:lang w:val="en-US"/>
              </w:rPr>
              <w:t xml:space="preserve"> </w:t>
            </w:r>
            <w:r w:rsidRPr="00D63688">
              <w:rPr>
                <w:sz w:val="22"/>
                <w:szCs w:val="22"/>
                <w:lang w:val="en-US"/>
              </w:rPr>
              <w:t>coverage to the children of a parent-employee when ordered to do so by state authorities.</w:t>
            </w:r>
            <w:r>
              <w:rPr>
                <w:sz w:val="22"/>
                <w:szCs w:val="22"/>
                <w:lang w:val="en-US"/>
              </w:rPr>
              <w:t xml:space="preserve"> </w:t>
            </w:r>
            <w:r w:rsidRPr="00D63688">
              <w:rPr>
                <w:sz w:val="22"/>
                <w:szCs w:val="22"/>
                <w:lang w:val="en-US"/>
              </w:rPr>
              <w:t xml:space="preserve">Generally, a state court or agency may require an ERISA-covered health plan to provide coverage to children by issuing a </w:t>
            </w:r>
            <w:r>
              <w:rPr>
                <w:sz w:val="22"/>
                <w:szCs w:val="22"/>
                <w:lang w:val="en-US"/>
              </w:rPr>
              <w:t>QMCSO</w:t>
            </w:r>
            <w:r w:rsidRPr="00D63688">
              <w:rPr>
                <w:sz w:val="22"/>
                <w:szCs w:val="22"/>
                <w:lang w:val="en-US"/>
              </w:rPr>
              <w:t xml:space="preserve">. </w:t>
            </w:r>
          </w:p>
        </w:tc>
        <w:sdt>
          <w:sdtPr>
            <w:rPr>
              <w:sz w:val="28"/>
              <w:szCs w:val="28"/>
            </w:rPr>
            <w:id w:val="1671751049"/>
            <w14:checkbox>
              <w14:checked w14:val="0"/>
              <w14:checkedState w14:val="2612" w14:font="MS Gothic"/>
              <w14:uncheckedState w14:val="2610" w14:font="MS Gothic"/>
            </w14:checkbox>
          </w:sdtPr>
          <w:sdtContent>
            <w:tc>
              <w:tcPr>
                <w:tcW w:w="685" w:type="pct"/>
                <w:shd w:val="clear" w:color="auto" w:fill="FFFFFF" w:themeFill="background1"/>
                <w:vAlign w:val="center"/>
              </w:tcPr>
              <w:p w:rsidR="00A70D8C" w:rsidP="00A70D8C" w14:paraId="08556608" w14:textId="57C3B288">
                <w:pPr>
                  <w:jc w:val="center"/>
                  <w:rPr>
                    <w:sz w:val="28"/>
                    <w:szCs w:val="28"/>
                  </w:rPr>
                </w:pPr>
                <w:r>
                  <w:rPr>
                    <w:rFonts w:ascii="MS Gothic" w:eastAsia="MS Gothic" w:hAnsi="MS Gothic" w:hint="eastAsia"/>
                    <w:sz w:val="28"/>
                    <w:szCs w:val="28"/>
                  </w:rPr>
                  <w:t>☐</w:t>
                </w:r>
              </w:p>
            </w:tc>
          </w:sdtContent>
        </w:sdt>
        <w:sdt>
          <w:sdtPr>
            <w:rPr>
              <w:sz w:val="28"/>
              <w:szCs w:val="28"/>
            </w:rPr>
            <w:id w:val="-401685641"/>
            <w14:checkbox>
              <w14:checked w14:val="0"/>
              <w14:checkedState w14:val="2612" w14:font="MS Gothic"/>
              <w14:uncheckedState w14:val="2610" w14:font="MS Gothic"/>
            </w14:checkbox>
          </w:sdtPr>
          <w:sdtContent>
            <w:tc>
              <w:tcPr>
                <w:tcW w:w="622" w:type="pct"/>
                <w:vAlign w:val="center"/>
              </w:tcPr>
              <w:p w:rsidR="00A70D8C" w:rsidP="00A70D8C" w14:paraId="4F37F6C7" w14:textId="00117D56">
                <w:pPr>
                  <w:jc w:val="center"/>
                  <w:rPr>
                    <w:sz w:val="28"/>
                    <w:szCs w:val="28"/>
                  </w:rPr>
                </w:pPr>
                <w:r w:rsidRPr="00DC0DC6">
                  <w:rPr>
                    <w:rFonts w:ascii="MS Gothic" w:eastAsia="MS Gothic" w:hAnsi="MS Gothic" w:hint="eastAsia"/>
                    <w:sz w:val="28"/>
                    <w:szCs w:val="28"/>
                  </w:rPr>
                  <w:t>☐</w:t>
                </w:r>
              </w:p>
            </w:tc>
          </w:sdtContent>
        </w:sdt>
      </w:tr>
      <w:tr w14:paraId="50071A97" w14:textId="77777777" w:rsidTr="00FF587E">
        <w:tblPrEx>
          <w:tblW w:w="5000" w:type="pct"/>
          <w:tblLook w:val="01E0"/>
        </w:tblPrEx>
        <w:trPr>
          <w:trHeight w:val="403"/>
        </w:trPr>
        <w:tc>
          <w:tcPr>
            <w:tcW w:w="3693" w:type="pct"/>
            <w:shd w:val="clear" w:color="auto" w:fill="FFFFFF" w:themeFill="background1"/>
            <w:vAlign w:val="center"/>
          </w:tcPr>
          <w:p w:rsidR="00A70D8C" w:rsidP="00A70D8C" w14:paraId="02E43DFE" w14:textId="77777777">
            <w:pPr>
              <w:pStyle w:val="Lists"/>
              <w:spacing w:before="60" w:after="60"/>
              <w:rPr>
                <w:b/>
                <w:bCs/>
                <w:sz w:val="22"/>
                <w:szCs w:val="22"/>
                <w:lang w:val="en-US"/>
              </w:rPr>
            </w:pPr>
            <w:r>
              <w:rPr>
                <w:b/>
                <w:bCs/>
                <w:sz w:val="22"/>
                <w:szCs w:val="22"/>
                <w:lang w:val="en-US"/>
              </w:rPr>
              <w:t>Does your health plan cover minimum hospital stays for mothers and newborns?</w:t>
            </w:r>
          </w:p>
          <w:p w:rsidR="00A70D8C" w:rsidRPr="00D16622" w:rsidP="00A70D8C" w14:paraId="46307902" w14:textId="130CE0D6">
            <w:pPr>
              <w:pStyle w:val="Lists"/>
              <w:spacing w:before="60" w:after="60"/>
              <w:rPr>
                <w:sz w:val="22"/>
                <w:szCs w:val="22"/>
                <w:lang w:val="en-US"/>
              </w:rPr>
            </w:pPr>
            <w:r w:rsidRPr="00D16622">
              <w:rPr>
                <w:sz w:val="22"/>
                <w:szCs w:val="22"/>
                <w:lang w:val="en-US"/>
              </w:rPr>
              <w:t xml:space="preserve">The </w:t>
            </w:r>
            <w:r>
              <w:rPr>
                <w:sz w:val="22"/>
                <w:szCs w:val="22"/>
                <w:lang w:val="en-US"/>
              </w:rPr>
              <w:t xml:space="preserve">Newborns’ and Mothers’ Health Protection Act </w:t>
            </w:r>
            <w:r>
              <w:rPr>
                <w:sz w:val="22"/>
                <w:szCs w:val="22"/>
                <w:lang w:val="en-US"/>
              </w:rPr>
              <w:t>prohibits</w:t>
            </w:r>
            <w:r>
              <w:rPr>
                <w:sz w:val="22"/>
                <w:szCs w:val="22"/>
                <w:lang w:val="en-US"/>
              </w:rPr>
              <w:t xml:space="preserve"> health plans from restricting </w:t>
            </w:r>
            <w:r w:rsidRPr="00D16622">
              <w:rPr>
                <w:sz w:val="22"/>
                <w:szCs w:val="22"/>
                <w:lang w:val="en-US"/>
              </w:rPr>
              <w:t xml:space="preserve">mothers’ and newborns’ benefits for hospital stays to less than 48 hours following a vaginal delivery and 96 hours following a delivery by cesarean section. </w:t>
            </w:r>
          </w:p>
        </w:tc>
        <w:sdt>
          <w:sdtPr>
            <w:rPr>
              <w:sz w:val="28"/>
              <w:szCs w:val="28"/>
            </w:rPr>
            <w:id w:val="1790308304"/>
            <w14:checkbox>
              <w14:checked w14:val="0"/>
              <w14:checkedState w14:val="2612" w14:font="MS Gothic"/>
              <w14:uncheckedState w14:val="2610" w14:font="MS Gothic"/>
            </w14:checkbox>
          </w:sdtPr>
          <w:sdtContent>
            <w:tc>
              <w:tcPr>
                <w:tcW w:w="685" w:type="pct"/>
                <w:shd w:val="clear" w:color="auto" w:fill="FFFFFF" w:themeFill="background1"/>
                <w:vAlign w:val="center"/>
              </w:tcPr>
              <w:p w:rsidR="00A70D8C" w:rsidRPr="00DC0DC6" w:rsidP="00A70D8C" w14:paraId="4C9F2D79" w14:textId="123F8AFF">
                <w:pPr>
                  <w:jc w:val="center"/>
                  <w:rPr>
                    <w:sz w:val="28"/>
                    <w:szCs w:val="28"/>
                  </w:rPr>
                </w:pPr>
                <w:r>
                  <w:rPr>
                    <w:rFonts w:ascii="MS Gothic" w:eastAsia="MS Gothic" w:hAnsi="MS Gothic" w:hint="eastAsia"/>
                    <w:sz w:val="28"/>
                    <w:szCs w:val="28"/>
                  </w:rPr>
                  <w:t>☐</w:t>
                </w:r>
              </w:p>
            </w:tc>
          </w:sdtContent>
        </w:sdt>
        <w:sdt>
          <w:sdtPr>
            <w:rPr>
              <w:sz w:val="28"/>
              <w:szCs w:val="28"/>
            </w:rPr>
            <w:id w:val="1998997388"/>
            <w14:checkbox>
              <w14:checked w14:val="0"/>
              <w14:checkedState w14:val="2612" w14:font="MS Gothic"/>
              <w14:uncheckedState w14:val="2610" w14:font="MS Gothic"/>
            </w14:checkbox>
          </w:sdtPr>
          <w:sdtContent>
            <w:tc>
              <w:tcPr>
                <w:tcW w:w="622" w:type="pct"/>
                <w:vAlign w:val="center"/>
              </w:tcPr>
              <w:p w:rsidR="00A70D8C" w:rsidRPr="00DC0DC6" w:rsidP="00A70D8C" w14:paraId="11A05C71" w14:textId="13C586FA">
                <w:pPr>
                  <w:jc w:val="center"/>
                  <w:rPr>
                    <w:sz w:val="28"/>
                    <w:szCs w:val="28"/>
                  </w:rPr>
                </w:pPr>
                <w:r w:rsidRPr="00DC0DC6">
                  <w:rPr>
                    <w:rFonts w:ascii="MS Gothic" w:eastAsia="MS Gothic" w:hAnsi="MS Gothic" w:hint="eastAsia"/>
                    <w:sz w:val="28"/>
                    <w:szCs w:val="28"/>
                  </w:rPr>
                  <w:t>☐</w:t>
                </w:r>
              </w:p>
            </w:tc>
          </w:sdtContent>
        </w:sdt>
      </w:tr>
      <w:tr w14:paraId="0067F7EE" w14:textId="77777777" w:rsidTr="00FF587E">
        <w:tblPrEx>
          <w:tblW w:w="5000" w:type="pct"/>
          <w:tblLook w:val="01E0"/>
        </w:tblPrEx>
        <w:trPr>
          <w:trHeight w:val="403"/>
        </w:trPr>
        <w:tc>
          <w:tcPr>
            <w:tcW w:w="3693" w:type="pct"/>
            <w:shd w:val="clear" w:color="auto" w:fill="FFFFFF" w:themeFill="background1"/>
            <w:vAlign w:val="center"/>
          </w:tcPr>
          <w:p w:rsidR="00A70D8C" w:rsidP="00A70D8C" w14:paraId="1232A2AC" w14:textId="77777777">
            <w:pPr>
              <w:pStyle w:val="Lists"/>
              <w:spacing w:before="60" w:after="60"/>
              <w:rPr>
                <w:b/>
                <w:bCs/>
                <w:sz w:val="22"/>
                <w:szCs w:val="22"/>
                <w:lang w:val="en-US"/>
              </w:rPr>
            </w:pPr>
            <w:r>
              <w:rPr>
                <w:b/>
                <w:bCs/>
                <w:sz w:val="22"/>
                <w:szCs w:val="22"/>
                <w:lang w:val="en-US"/>
              </w:rPr>
              <w:t xml:space="preserve">Does your health plan provide benefits for reconstructive surgery following mastectomies? </w:t>
            </w:r>
          </w:p>
          <w:p w:rsidR="00A70D8C" w:rsidRPr="00FF41A4" w:rsidP="00A70D8C" w14:paraId="1F85106C" w14:textId="18F18504">
            <w:pPr>
              <w:pStyle w:val="Lists"/>
              <w:spacing w:before="60" w:after="60"/>
              <w:rPr>
                <w:sz w:val="22"/>
                <w:szCs w:val="22"/>
                <w:lang w:val="en-US"/>
              </w:rPr>
            </w:pPr>
            <w:r w:rsidRPr="00FF41A4">
              <w:rPr>
                <w:sz w:val="22"/>
                <w:szCs w:val="22"/>
                <w:lang w:val="en-US"/>
              </w:rPr>
              <w:t xml:space="preserve">The Women’s Health and Cancer Rights Act (WHCRA) </w:t>
            </w:r>
            <w:r w:rsidRPr="00FF41A4">
              <w:rPr>
                <w:sz w:val="22"/>
                <w:szCs w:val="22"/>
                <w:lang w:val="en-US"/>
              </w:rPr>
              <w:t>requires</w:t>
            </w:r>
            <w:r w:rsidRPr="00FF41A4">
              <w:rPr>
                <w:sz w:val="22"/>
                <w:szCs w:val="22"/>
                <w:lang w:val="en-US"/>
              </w:rPr>
              <w:t xml:space="preserve"> health plans</w:t>
            </w:r>
            <w:r w:rsidR="00D17370">
              <w:rPr>
                <w:sz w:val="22"/>
                <w:szCs w:val="22"/>
                <w:lang w:val="en-US"/>
              </w:rPr>
              <w:t xml:space="preserve"> </w:t>
            </w:r>
            <w:r w:rsidRPr="00FF41A4">
              <w:rPr>
                <w:sz w:val="22"/>
                <w:szCs w:val="22"/>
                <w:lang w:val="en-US"/>
              </w:rPr>
              <w:t xml:space="preserve">that provide medical and surgical benefits for mastectomies to also provide benefits for reconstructive surgery. This coverage must include: </w:t>
            </w:r>
          </w:p>
          <w:p w:rsidR="00A70D8C" w:rsidRPr="00FF41A4" w:rsidP="00A70D8C" w14:paraId="4ED3B735" w14:textId="77777777">
            <w:pPr>
              <w:pStyle w:val="Lists"/>
              <w:numPr>
                <w:ilvl w:val="0"/>
                <w:numId w:val="19"/>
              </w:numPr>
              <w:spacing w:before="60" w:after="60"/>
              <w:rPr>
                <w:sz w:val="22"/>
                <w:szCs w:val="22"/>
                <w:lang w:val="en-US"/>
              </w:rPr>
            </w:pPr>
            <w:r w:rsidRPr="00FF41A4">
              <w:rPr>
                <w:sz w:val="22"/>
                <w:szCs w:val="22"/>
                <w:lang w:val="en-US"/>
              </w:rPr>
              <w:t>All stages of reconstruction of the breast on which a mastectomy has been performed;</w:t>
            </w:r>
          </w:p>
          <w:p w:rsidR="00A70D8C" w:rsidRPr="00FF41A4" w:rsidP="00A70D8C" w14:paraId="2B283A08" w14:textId="77777777">
            <w:pPr>
              <w:pStyle w:val="Lists"/>
              <w:numPr>
                <w:ilvl w:val="0"/>
                <w:numId w:val="19"/>
              </w:numPr>
              <w:spacing w:before="60" w:after="60"/>
              <w:rPr>
                <w:sz w:val="22"/>
                <w:szCs w:val="22"/>
                <w:lang w:val="en-US"/>
              </w:rPr>
            </w:pPr>
            <w:r w:rsidRPr="00FF41A4">
              <w:rPr>
                <w:sz w:val="22"/>
                <w:szCs w:val="22"/>
                <w:lang w:val="en-US"/>
              </w:rPr>
              <w:t>Surgery and reconstruction of the other breast to produce a symmetrical appearance; and</w:t>
            </w:r>
          </w:p>
          <w:p w:rsidR="00A70D8C" w:rsidP="00A70D8C" w14:paraId="1C7FF5CC" w14:textId="01B313E8">
            <w:pPr>
              <w:pStyle w:val="Lists"/>
              <w:numPr>
                <w:ilvl w:val="0"/>
                <w:numId w:val="19"/>
              </w:numPr>
              <w:spacing w:before="60" w:after="60"/>
              <w:rPr>
                <w:b/>
                <w:bCs/>
                <w:sz w:val="22"/>
                <w:szCs w:val="22"/>
                <w:lang w:val="en-US"/>
              </w:rPr>
            </w:pPr>
            <w:r w:rsidRPr="00FF41A4">
              <w:rPr>
                <w:sz w:val="22"/>
                <w:szCs w:val="22"/>
                <w:lang w:val="en-US"/>
              </w:rPr>
              <w:t xml:space="preserve">Prostheses and treatment for physical complications of mastectomy, including </w:t>
            </w:r>
            <w:r w:rsidR="00C76C57">
              <w:rPr>
                <w:sz w:val="22"/>
                <w:szCs w:val="22"/>
                <w:lang w:val="en-US"/>
              </w:rPr>
              <w:t>lymphedema</w:t>
            </w:r>
            <w:r w:rsidRPr="00FF41A4">
              <w:rPr>
                <w:sz w:val="22"/>
                <w:szCs w:val="22"/>
                <w:lang w:val="en-US"/>
              </w:rPr>
              <w:t>.</w:t>
            </w:r>
          </w:p>
        </w:tc>
        <w:sdt>
          <w:sdtPr>
            <w:rPr>
              <w:sz w:val="28"/>
              <w:szCs w:val="28"/>
            </w:rPr>
            <w:id w:val="1369876912"/>
            <w14:checkbox>
              <w14:checked w14:val="0"/>
              <w14:checkedState w14:val="2612" w14:font="MS Gothic"/>
              <w14:uncheckedState w14:val="2610" w14:font="MS Gothic"/>
            </w14:checkbox>
          </w:sdtPr>
          <w:sdtContent>
            <w:tc>
              <w:tcPr>
                <w:tcW w:w="685" w:type="pct"/>
                <w:shd w:val="clear" w:color="auto" w:fill="FFFFFF" w:themeFill="background1"/>
                <w:vAlign w:val="center"/>
              </w:tcPr>
              <w:p w:rsidR="00A70D8C" w:rsidRPr="00DC0DC6" w:rsidP="00A70D8C" w14:paraId="740550C6" w14:textId="1FB53766">
                <w:pPr>
                  <w:jc w:val="center"/>
                  <w:rPr>
                    <w:sz w:val="28"/>
                    <w:szCs w:val="28"/>
                  </w:rPr>
                </w:pPr>
                <w:r>
                  <w:rPr>
                    <w:rFonts w:ascii="MS Gothic" w:eastAsia="MS Gothic" w:hAnsi="MS Gothic" w:hint="eastAsia"/>
                    <w:sz w:val="28"/>
                    <w:szCs w:val="28"/>
                  </w:rPr>
                  <w:t>☐</w:t>
                </w:r>
              </w:p>
            </w:tc>
          </w:sdtContent>
        </w:sdt>
        <w:sdt>
          <w:sdtPr>
            <w:rPr>
              <w:sz w:val="28"/>
              <w:szCs w:val="28"/>
            </w:rPr>
            <w:id w:val="663512158"/>
            <w14:checkbox>
              <w14:checked w14:val="0"/>
              <w14:checkedState w14:val="2612" w14:font="MS Gothic"/>
              <w14:uncheckedState w14:val="2610" w14:font="MS Gothic"/>
            </w14:checkbox>
          </w:sdtPr>
          <w:sdtContent>
            <w:tc>
              <w:tcPr>
                <w:tcW w:w="622" w:type="pct"/>
                <w:vAlign w:val="center"/>
              </w:tcPr>
              <w:p w:rsidR="00A70D8C" w:rsidRPr="00DC0DC6" w:rsidP="00A70D8C" w14:paraId="0AF8A894" w14:textId="3724337A">
                <w:pPr>
                  <w:jc w:val="center"/>
                  <w:rPr>
                    <w:sz w:val="28"/>
                    <w:szCs w:val="28"/>
                  </w:rPr>
                </w:pPr>
                <w:r w:rsidRPr="00DC0DC6">
                  <w:rPr>
                    <w:rFonts w:ascii="MS Gothic" w:eastAsia="MS Gothic" w:hAnsi="MS Gothic" w:hint="eastAsia"/>
                    <w:sz w:val="28"/>
                    <w:szCs w:val="28"/>
                  </w:rPr>
                  <w:t>☐</w:t>
                </w:r>
              </w:p>
            </w:tc>
          </w:sdtContent>
        </w:sdt>
      </w:tr>
      <w:tr w14:paraId="1208EA43" w14:textId="77777777" w:rsidTr="00FF587E">
        <w:tblPrEx>
          <w:tblW w:w="5000" w:type="pct"/>
          <w:tblLook w:val="01E0"/>
        </w:tblPrEx>
        <w:trPr>
          <w:trHeight w:val="403"/>
        </w:trPr>
        <w:tc>
          <w:tcPr>
            <w:tcW w:w="3693" w:type="pct"/>
            <w:shd w:val="clear" w:color="auto" w:fill="FFFFFF" w:themeFill="background1"/>
            <w:vAlign w:val="center"/>
          </w:tcPr>
          <w:p w:rsidR="00A70D8C" w:rsidP="00A70D8C" w14:paraId="32A6D713" w14:textId="7CF03843">
            <w:pPr>
              <w:pStyle w:val="Lists"/>
              <w:spacing w:before="60" w:after="60"/>
              <w:rPr>
                <w:b/>
                <w:bCs/>
                <w:sz w:val="22"/>
                <w:szCs w:val="22"/>
                <w:lang w:val="en-US"/>
              </w:rPr>
            </w:pPr>
            <w:r>
              <w:rPr>
                <w:b/>
                <w:bCs/>
                <w:sz w:val="22"/>
                <w:szCs w:val="22"/>
                <w:lang w:val="en-US"/>
              </w:rPr>
              <w:t>Does your health plan</w:t>
            </w:r>
            <w:r w:rsidR="00E07161">
              <w:rPr>
                <w:b/>
                <w:bCs/>
                <w:sz w:val="22"/>
                <w:szCs w:val="22"/>
                <w:lang w:val="en-US"/>
              </w:rPr>
              <w:t xml:space="preserve"> comply with HIPAA’s prohibition on discrimination based </w:t>
            </w:r>
            <w:r>
              <w:rPr>
                <w:b/>
                <w:bCs/>
                <w:sz w:val="22"/>
                <w:szCs w:val="22"/>
                <w:lang w:val="en-US"/>
              </w:rPr>
              <w:t xml:space="preserve">on health status? </w:t>
            </w:r>
          </w:p>
          <w:p w:rsidR="00A70D8C" w:rsidRPr="00300D25" w:rsidP="00A70D8C" w14:paraId="297B4676" w14:textId="359B7AD5">
            <w:pPr>
              <w:pStyle w:val="Lists"/>
              <w:spacing w:before="60" w:after="60"/>
              <w:rPr>
                <w:sz w:val="22"/>
                <w:szCs w:val="22"/>
                <w:lang w:val="en-US"/>
              </w:rPr>
            </w:pPr>
            <w:r w:rsidRPr="00300D25">
              <w:rPr>
                <w:sz w:val="22"/>
                <w:szCs w:val="22"/>
                <w:lang w:val="en-US"/>
              </w:rPr>
              <w:t xml:space="preserve">HIPAA prohibits health plans from discriminating against individuals </w:t>
            </w:r>
            <w:r w:rsidRPr="00300D25">
              <w:rPr>
                <w:sz w:val="22"/>
                <w:szCs w:val="22"/>
                <w:lang w:val="en-US"/>
              </w:rPr>
              <w:t>with regard to</w:t>
            </w:r>
            <w:r w:rsidRPr="00300D25">
              <w:rPr>
                <w:sz w:val="22"/>
                <w:szCs w:val="22"/>
                <w:lang w:val="en-US"/>
              </w:rPr>
              <w:t xml:space="preserve"> eligibility, premiums or coverage based upon a health status-related factor.</w:t>
            </w:r>
            <w:r>
              <w:rPr>
                <w:sz w:val="22"/>
                <w:szCs w:val="22"/>
                <w:lang w:val="en-US"/>
              </w:rPr>
              <w:t xml:space="preserve"> </w:t>
            </w:r>
            <w:r w:rsidR="00F87E51">
              <w:rPr>
                <w:sz w:val="22"/>
                <w:szCs w:val="22"/>
                <w:lang w:val="en-US"/>
              </w:rPr>
              <w:t>As an exception, w</w:t>
            </w:r>
            <w:r>
              <w:rPr>
                <w:sz w:val="22"/>
                <w:szCs w:val="22"/>
                <w:lang w:val="en-US"/>
              </w:rPr>
              <w:t xml:space="preserve">ellness programs that are related to a health plan may require individuals to satisfy a standard related to a health factor to receive a reward, if certain nondiscrimination standards are met. </w:t>
            </w:r>
          </w:p>
        </w:tc>
        <w:sdt>
          <w:sdtPr>
            <w:rPr>
              <w:sz w:val="28"/>
              <w:szCs w:val="28"/>
            </w:rPr>
            <w:id w:val="-497892803"/>
            <w14:checkbox>
              <w14:checked w14:val="0"/>
              <w14:checkedState w14:val="2612" w14:font="MS Gothic"/>
              <w14:uncheckedState w14:val="2610" w14:font="MS Gothic"/>
            </w14:checkbox>
          </w:sdtPr>
          <w:sdtContent>
            <w:tc>
              <w:tcPr>
                <w:tcW w:w="685" w:type="pct"/>
                <w:shd w:val="clear" w:color="auto" w:fill="FFFFFF" w:themeFill="background1"/>
                <w:vAlign w:val="center"/>
              </w:tcPr>
              <w:p w:rsidR="00A70D8C" w:rsidRPr="00DC0DC6" w:rsidP="00A70D8C" w14:paraId="794AE77E" w14:textId="3AA61ECD">
                <w:pPr>
                  <w:jc w:val="center"/>
                  <w:rPr>
                    <w:sz w:val="28"/>
                    <w:szCs w:val="28"/>
                  </w:rPr>
                </w:pPr>
                <w:r>
                  <w:rPr>
                    <w:rFonts w:ascii="MS Gothic" w:eastAsia="MS Gothic" w:hAnsi="MS Gothic" w:hint="eastAsia"/>
                    <w:sz w:val="28"/>
                    <w:szCs w:val="28"/>
                  </w:rPr>
                  <w:t>☐</w:t>
                </w:r>
              </w:p>
            </w:tc>
          </w:sdtContent>
        </w:sdt>
        <w:sdt>
          <w:sdtPr>
            <w:rPr>
              <w:sz w:val="28"/>
              <w:szCs w:val="28"/>
            </w:rPr>
            <w:id w:val="-54862068"/>
            <w14:checkbox>
              <w14:checked w14:val="0"/>
              <w14:checkedState w14:val="2612" w14:font="MS Gothic"/>
              <w14:uncheckedState w14:val="2610" w14:font="MS Gothic"/>
            </w14:checkbox>
          </w:sdtPr>
          <w:sdtContent>
            <w:tc>
              <w:tcPr>
                <w:tcW w:w="622" w:type="pct"/>
                <w:vAlign w:val="center"/>
              </w:tcPr>
              <w:p w:rsidR="00A70D8C" w:rsidRPr="00DC0DC6" w:rsidP="00A70D8C" w14:paraId="499FC9AE" w14:textId="11F86090">
                <w:pPr>
                  <w:jc w:val="center"/>
                  <w:rPr>
                    <w:sz w:val="28"/>
                    <w:szCs w:val="28"/>
                  </w:rPr>
                </w:pPr>
                <w:r w:rsidRPr="00DC0DC6">
                  <w:rPr>
                    <w:rFonts w:ascii="MS Gothic" w:eastAsia="MS Gothic" w:hAnsi="MS Gothic" w:hint="eastAsia"/>
                    <w:sz w:val="28"/>
                    <w:szCs w:val="28"/>
                  </w:rPr>
                  <w:t>☐</w:t>
                </w:r>
              </w:p>
            </w:tc>
          </w:sdtContent>
        </w:sdt>
      </w:tr>
      <w:tr w14:paraId="7ED88CDE" w14:textId="77777777" w:rsidTr="00FF587E">
        <w:tblPrEx>
          <w:tblW w:w="5000" w:type="pct"/>
          <w:tblLook w:val="01E0"/>
        </w:tblPrEx>
        <w:trPr>
          <w:trHeight w:val="403"/>
        </w:trPr>
        <w:tc>
          <w:tcPr>
            <w:tcW w:w="3693" w:type="pct"/>
            <w:shd w:val="clear" w:color="auto" w:fill="FFFFFF" w:themeFill="background1"/>
            <w:vAlign w:val="center"/>
          </w:tcPr>
          <w:p w:rsidR="000B6724" w:rsidP="000B6724" w14:paraId="69A8E321" w14:textId="0FFF91F6">
            <w:pPr>
              <w:pStyle w:val="Lists"/>
              <w:spacing w:before="60" w:after="60"/>
              <w:rPr>
                <w:b/>
                <w:bCs/>
                <w:sz w:val="22"/>
                <w:szCs w:val="22"/>
                <w:lang w:val="en-US"/>
              </w:rPr>
            </w:pPr>
            <w:r>
              <w:rPr>
                <w:b/>
                <w:bCs/>
                <w:sz w:val="22"/>
                <w:szCs w:val="22"/>
                <w:lang w:val="en-US"/>
              </w:rPr>
              <w:t>Do you continue health coverage for employees during military leave?</w:t>
            </w:r>
          </w:p>
          <w:p w:rsidR="000B6724" w:rsidRPr="009F5AF4" w:rsidP="000B6724" w14:paraId="3B097135" w14:textId="18CD90A1">
            <w:pPr>
              <w:pStyle w:val="Lists"/>
              <w:spacing w:before="60" w:after="60"/>
              <w:rPr>
                <w:sz w:val="22"/>
                <w:szCs w:val="22"/>
                <w:lang w:val="en-US"/>
              </w:rPr>
            </w:pPr>
            <w:r w:rsidRPr="009F5AF4">
              <w:rPr>
                <w:sz w:val="22"/>
                <w:szCs w:val="22"/>
                <w:lang w:val="en-US"/>
              </w:rPr>
              <w:t>Under the Uniformed Services Employment and Reemployment Rights Act</w:t>
            </w:r>
            <w:r>
              <w:rPr>
                <w:sz w:val="22"/>
                <w:szCs w:val="22"/>
                <w:lang w:val="en-US"/>
              </w:rPr>
              <w:t>, i</w:t>
            </w:r>
            <w:r w:rsidRPr="00CE6471">
              <w:rPr>
                <w:sz w:val="22"/>
                <w:szCs w:val="22"/>
                <w:lang w:val="en-US"/>
              </w:rPr>
              <w:t>f an employee leaves their job to perform military service, they have the right to continue existing employer-based health plan coverage. If the employee is absent from work for less than 31 days, they may continue coverage by paying their regular premium. An employee who is absent for 31 or more days may elect to continue coverage for up to 24 months by paying a premium that is no more than 102% of the full premium under the plan.</w:t>
            </w:r>
          </w:p>
        </w:tc>
        <w:sdt>
          <w:sdtPr>
            <w:rPr>
              <w:sz w:val="28"/>
              <w:szCs w:val="28"/>
            </w:rPr>
            <w:id w:val="204380021"/>
            <w14:checkbox>
              <w14:checked w14:val="0"/>
              <w14:checkedState w14:val="2612" w14:font="MS Gothic"/>
              <w14:uncheckedState w14:val="2610" w14:font="MS Gothic"/>
            </w14:checkbox>
          </w:sdtPr>
          <w:sdtContent>
            <w:tc>
              <w:tcPr>
                <w:tcW w:w="685" w:type="pct"/>
                <w:shd w:val="clear" w:color="auto" w:fill="FFFFFF" w:themeFill="background1"/>
                <w:vAlign w:val="center"/>
              </w:tcPr>
              <w:p w:rsidR="000B6724" w:rsidP="000B6724" w14:paraId="7448DB76" w14:textId="0810E0C2">
                <w:pPr>
                  <w:jc w:val="center"/>
                  <w:rPr>
                    <w:sz w:val="28"/>
                    <w:szCs w:val="28"/>
                  </w:rPr>
                </w:pPr>
                <w:r>
                  <w:rPr>
                    <w:rFonts w:ascii="MS Gothic" w:eastAsia="MS Gothic" w:hAnsi="MS Gothic" w:hint="eastAsia"/>
                    <w:sz w:val="28"/>
                    <w:szCs w:val="28"/>
                  </w:rPr>
                  <w:t>☐</w:t>
                </w:r>
              </w:p>
            </w:tc>
          </w:sdtContent>
        </w:sdt>
        <w:sdt>
          <w:sdtPr>
            <w:rPr>
              <w:sz w:val="28"/>
              <w:szCs w:val="28"/>
            </w:rPr>
            <w:id w:val="-991101717"/>
            <w14:checkbox>
              <w14:checked w14:val="0"/>
              <w14:checkedState w14:val="2612" w14:font="MS Gothic"/>
              <w14:uncheckedState w14:val="2610" w14:font="MS Gothic"/>
            </w14:checkbox>
          </w:sdtPr>
          <w:sdtContent>
            <w:tc>
              <w:tcPr>
                <w:tcW w:w="622" w:type="pct"/>
                <w:vAlign w:val="center"/>
              </w:tcPr>
              <w:p w:rsidR="000B6724" w:rsidP="000B6724" w14:paraId="2A183C93" w14:textId="438BBD4E">
                <w:pPr>
                  <w:jc w:val="center"/>
                  <w:rPr>
                    <w:sz w:val="28"/>
                    <w:szCs w:val="28"/>
                  </w:rPr>
                </w:pPr>
                <w:r w:rsidRPr="00DC0DC6">
                  <w:rPr>
                    <w:rFonts w:ascii="MS Gothic" w:eastAsia="MS Gothic" w:hAnsi="MS Gothic" w:hint="eastAsia"/>
                    <w:sz w:val="28"/>
                    <w:szCs w:val="28"/>
                  </w:rPr>
                  <w:t>☐</w:t>
                </w:r>
              </w:p>
            </w:tc>
          </w:sdtContent>
        </w:sdt>
      </w:tr>
    </w:tbl>
    <w:p w:rsidR="00D52A9B" w:rsidRPr="000B6724" w:rsidP="000B6724" w14:paraId="7337C7C7" w14:textId="53B165C1">
      <w:pPr>
        <w:pStyle w:val="Lists"/>
        <w:rPr>
          <w:b/>
          <w:bCs/>
          <w:color w:val="0070C0"/>
          <w:sz w:val="32"/>
          <w:szCs w:val="32"/>
          <w:lang w:val="en-US"/>
        </w:rPr>
      </w:pPr>
      <w:r w:rsidRPr="000B6724">
        <w:rPr>
          <w:b/>
          <w:bCs/>
          <w:color w:val="0070C0"/>
          <w:sz w:val="32"/>
          <w:szCs w:val="32"/>
          <w:lang w:val="en-US"/>
        </w:rPr>
        <w:t xml:space="preserve">Annual </w:t>
      </w:r>
      <w:r w:rsidRPr="000B6724">
        <w:rPr>
          <w:b/>
          <w:bCs/>
          <w:color w:val="0070C0"/>
          <w:sz w:val="32"/>
          <w:szCs w:val="32"/>
          <w:lang w:val="en-US"/>
        </w:rPr>
        <w:t>Reporting</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1E0"/>
      </w:tblPr>
      <w:tblGrid>
        <w:gridCol w:w="6924"/>
        <w:gridCol w:w="1170"/>
        <w:gridCol w:w="1250"/>
      </w:tblGrid>
      <w:tr w14:paraId="23941F8F" w14:textId="78A1C154" w:rsidTr="00AB2C9B">
        <w:tblPrEx>
          <w:tblW w:w="5000" w:type="pct"/>
          <w:tblLayout w:type="fixed"/>
          <w:tblLook w:val="01E0"/>
        </w:tblPrEx>
        <w:trPr>
          <w:trHeight w:val="211"/>
          <w:tblHeader/>
        </w:trPr>
        <w:tc>
          <w:tcPr>
            <w:tcW w:w="3705" w:type="pct"/>
            <w:shd w:val="clear" w:color="auto" w:fill="5083C9"/>
            <w:vAlign w:val="center"/>
          </w:tcPr>
          <w:p w:rsidR="00700B43" w:rsidRPr="00D04EE6" w:rsidP="002567DC" w14:paraId="13E4C186" w14:textId="32B0F308">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Annual Reporting</w:t>
            </w:r>
            <w:r w:rsidR="00B76711">
              <w:rPr>
                <w:rFonts w:asciiTheme="majorHAnsi" w:hAnsiTheme="majorHAnsi" w:cstheme="majorHAnsi"/>
                <w:color w:val="FFFFFF" w:themeColor="background1"/>
                <w:sz w:val="24"/>
                <w:szCs w:val="24"/>
              </w:rPr>
              <w:t xml:space="preserve"> Requirements</w:t>
            </w:r>
          </w:p>
        </w:tc>
        <w:tc>
          <w:tcPr>
            <w:tcW w:w="626" w:type="pct"/>
            <w:shd w:val="clear" w:color="auto" w:fill="5083C9"/>
            <w:vAlign w:val="center"/>
          </w:tcPr>
          <w:p w:rsidR="00700B43" w:rsidRPr="00823DD7" w:rsidP="00E041D6" w14:paraId="52B5CD5C" w14:textId="6EAA2AB3">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c>
          <w:tcPr>
            <w:tcW w:w="670" w:type="pct"/>
            <w:shd w:val="clear" w:color="auto" w:fill="5083C9"/>
            <w:vAlign w:val="center"/>
          </w:tcPr>
          <w:p w:rsidR="00700B43" w:rsidP="00E041D6" w14:paraId="7082B00B" w14:textId="109568DC">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Not Applicable</w:t>
            </w:r>
          </w:p>
        </w:tc>
      </w:tr>
      <w:tr w14:paraId="5A99D02A" w14:textId="77777777" w:rsidTr="00AB2C9B">
        <w:tblPrEx>
          <w:tblW w:w="5000" w:type="pct"/>
          <w:tblLayout w:type="fixed"/>
          <w:tblLook w:val="01E0"/>
        </w:tblPrEx>
        <w:trPr>
          <w:trHeight w:val="403"/>
        </w:trPr>
        <w:tc>
          <w:tcPr>
            <w:tcW w:w="3705" w:type="pct"/>
            <w:shd w:val="clear" w:color="auto" w:fill="FFFFFF" w:themeFill="background1"/>
            <w:vAlign w:val="center"/>
          </w:tcPr>
          <w:p w:rsidR="00C67135" w:rsidRPr="00A31709" w:rsidP="00134583" w14:paraId="0502014A" w14:textId="0DEB874A">
            <w:pPr>
              <w:pStyle w:val="Lists"/>
              <w:spacing w:before="60" w:after="60"/>
              <w:rPr>
                <w:b/>
                <w:bCs/>
                <w:sz w:val="22"/>
                <w:szCs w:val="22"/>
                <w:lang w:val="en-US"/>
              </w:rPr>
            </w:pPr>
            <w:r>
              <w:rPr>
                <w:b/>
                <w:bCs/>
                <w:sz w:val="22"/>
                <w:szCs w:val="22"/>
                <w:lang w:val="en-US"/>
              </w:rPr>
              <w:t xml:space="preserve">Submit Medicare Part D disclosure to </w:t>
            </w:r>
            <w:r w:rsidR="00CF7461">
              <w:rPr>
                <w:b/>
                <w:bCs/>
                <w:sz w:val="22"/>
                <w:szCs w:val="22"/>
                <w:lang w:val="en-US"/>
              </w:rPr>
              <w:t xml:space="preserve">the </w:t>
            </w:r>
            <w:r w:rsidRPr="00981487" w:rsidR="00A31709">
              <w:rPr>
                <w:b/>
                <w:bCs/>
                <w:sz w:val="22"/>
                <w:szCs w:val="22"/>
                <w:lang w:val="en-US"/>
              </w:rPr>
              <w:t>Centers for Medicare and Medicaid Services (</w:t>
            </w:r>
            <w:r w:rsidRPr="00A31709">
              <w:rPr>
                <w:b/>
                <w:bCs/>
                <w:sz w:val="22"/>
                <w:szCs w:val="22"/>
                <w:lang w:val="en-US"/>
              </w:rPr>
              <w:t>CMS</w:t>
            </w:r>
            <w:r w:rsidRPr="00A31709" w:rsidR="00A31709">
              <w:rPr>
                <w:b/>
                <w:bCs/>
                <w:sz w:val="22"/>
                <w:szCs w:val="22"/>
                <w:lang w:val="en-US"/>
              </w:rPr>
              <w:t>)</w:t>
            </w:r>
            <w:r w:rsidRPr="00A31709" w:rsidR="009C38D7">
              <w:rPr>
                <w:b/>
                <w:bCs/>
                <w:sz w:val="22"/>
                <w:szCs w:val="22"/>
                <w:lang w:val="en-US"/>
              </w:rPr>
              <w:t>.</w:t>
            </w:r>
          </w:p>
          <w:p w:rsidR="00C67135" w:rsidP="00134583" w14:paraId="642606C9" w14:textId="0F376B09">
            <w:pPr>
              <w:pStyle w:val="Lists"/>
              <w:spacing w:before="60" w:after="60"/>
              <w:rPr>
                <w:b/>
                <w:bCs/>
                <w:sz w:val="22"/>
                <w:szCs w:val="22"/>
                <w:lang w:val="en-US"/>
              </w:rPr>
            </w:pPr>
            <w:r>
              <w:rPr>
                <w:sz w:val="22"/>
                <w:szCs w:val="22"/>
                <w:lang w:val="en-US"/>
              </w:rPr>
              <w:t>Employers with health plans that provide prescription drug coverage to individuals who are eligible for Medicare Part D must s</w:t>
            </w:r>
            <w:r w:rsidRPr="00E158A4">
              <w:rPr>
                <w:sz w:val="22"/>
                <w:szCs w:val="22"/>
                <w:lang w:val="en-US"/>
              </w:rPr>
              <w:t xml:space="preserve">ubmit an </w:t>
            </w:r>
            <w:hyperlink r:id="rId13" w:history="1">
              <w:r w:rsidRPr="00C614DB">
                <w:rPr>
                  <w:rStyle w:val="Hyperlink"/>
                  <w:sz w:val="22"/>
                  <w:szCs w:val="22"/>
                  <w:lang w:val="en-US"/>
                </w:rPr>
                <w:t>online form</w:t>
              </w:r>
            </w:hyperlink>
            <w:r w:rsidRPr="00E158A4">
              <w:rPr>
                <w:sz w:val="22"/>
                <w:szCs w:val="22"/>
                <w:lang w:val="en-US"/>
              </w:rPr>
              <w:t xml:space="preserve"> to CMS indicating whether</w:t>
            </w:r>
            <w:r>
              <w:rPr>
                <w:sz w:val="22"/>
                <w:szCs w:val="22"/>
                <w:lang w:val="en-US"/>
              </w:rPr>
              <w:t xml:space="preserve"> their </w:t>
            </w:r>
            <w:r w:rsidRPr="00E158A4">
              <w:rPr>
                <w:sz w:val="22"/>
                <w:szCs w:val="22"/>
                <w:lang w:val="en-US"/>
              </w:rPr>
              <w:t>prescription drug coverage is creditable or noncreditable. The</w:t>
            </w:r>
            <w:r>
              <w:rPr>
                <w:sz w:val="22"/>
                <w:szCs w:val="22"/>
                <w:lang w:val="en-US"/>
              </w:rPr>
              <w:t xml:space="preserve"> </w:t>
            </w:r>
            <w:r w:rsidRPr="00E158A4">
              <w:rPr>
                <w:sz w:val="22"/>
                <w:szCs w:val="22"/>
                <w:lang w:val="en-US"/>
              </w:rPr>
              <w:t>deadline for submitting this annual disclosure is 60 days after</w:t>
            </w:r>
            <w:r>
              <w:rPr>
                <w:sz w:val="22"/>
                <w:szCs w:val="22"/>
                <w:lang w:val="en-US"/>
              </w:rPr>
              <w:t xml:space="preserve"> </w:t>
            </w:r>
            <w:r w:rsidRPr="00E158A4">
              <w:rPr>
                <w:sz w:val="22"/>
                <w:szCs w:val="22"/>
                <w:lang w:val="en-US"/>
              </w:rPr>
              <w:t xml:space="preserve">the beginning of </w:t>
            </w:r>
            <w:r w:rsidRPr="00E158A4" w:rsidR="002C2C7D">
              <w:rPr>
                <w:sz w:val="22"/>
                <w:szCs w:val="22"/>
                <w:lang w:val="en-US"/>
              </w:rPr>
              <w:t>the</w:t>
            </w:r>
            <w:r w:rsidRPr="00E158A4">
              <w:rPr>
                <w:sz w:val="22"/>
                <w:szCs w:val="22"/>
                <w:lang w:val="en-US"/>
              </w:rPr>
              <w:t xml:space="preserve"> </w:t>
            </w:r>
            <w:r w:rsidR="002C2C7D">
              <w:rPr>
                <w:sz w:val="22"/>
                <w:szCs w:val="22"/>
                <w:lang w:val="en-US"/>
              </w:rPr>
              <w:t xml:space="preserve">plan </w:t>
            </w:r>
            <w:r w:rsidRPr="00E158A4">
              <w:rPr>
                <w:sz w:val="22"/>
                <w:szCs w:val="22"/>
                <w:lang w:val="en-US"/>
              </w:rPr>
              <w:t>year. For calendar-yea</w:t>
            </w:r>
            <w:r w:rsidR="002C2C7D">
              <w:rPr>
                <w:sz w:val="22"/>
                <w:szCs w:val="22"/>
                <w:lang w:val="en-US"/>
              </w:rPr>
              <w:t xml:space="preserve">r </w:t>
            </w:r>
            <w:r w:rsidRPr="00E158A4">
              <w:rPr>
                <w:sz w:val="22"/>
                <w:szCs w:val="22"/>
                <w:lang w:val="en-US"/>
              </w:rPr>
              <w:t>plans,</w:t>
            </w:r>
            <w:r>
              <w:rPr>
                <w:sz w:val="22"/>
                <w:szCs w:val="22"/>
                <w:lang w:val="en-US"/>
              </w:rPr>
              <w:t xml:space="preserve"> </w:t>
            </w:r>
            <w:r w:rsidRPr="00E158A4">
              <w:rPr>
                <w:sz w:val="22"/>
                <w:szCs w:val="22"/>
                <w:lang w:val="en-US"/>
              </w:rPr>
              <w:t>th</w:t>
            </w:r>
            <w:r>
              <w:rPr>
                <w:sz w:val="22"/>
                <w:szCs w:val="22"/>
                <w:lang w:val="en-US"/>
              </w:rPr>
              <w:t>is</w:t>
            </w:r>
            <w:r w:rsidRPr="00E158A4">
              <w:rPr>
                <w:sz w:val="22"/>
                <w:szCs w:val="22"/>
                <w:lang w:val="en-US"/>
              </w:rPr>
              <w:t xml:space="preserve"> deadline is </w:t>
            </w:r>
            <w:r w:rsidRPr="00415043">
              <w:rPr>
                <w:b/>
                <w:bCs/>
                <w:sz w:val="22"/>
                <w:szCs w:val="22"/>
                <w:lang w:val="en-US"/>
              </w:rPr>
              <w:t>March 1</w:t>
            </w:r>
            <w:r>
              <w:rPr>
                <w:sz w:val="22"/>
                <w:szCs w:val="22"/>
                <w:lang w:val="en-US"/>
              </w:rPr>
              <w:t xml:space="preserve"> (or Feb. 29 in a leap year)</w:t>
            </w:r>
          </w:p>
        </w:tc>
        <w:sdt>
          <w:sdtPr>
            <w:rPr>
              <w:sz w:val="28"/>
              <w:szCs w:val="28"/>
            </w:rPr>
            <w:id w:val="451222780"/>
            <w14:checkbox>
              <w14:checked w14:val="0"/>
              <w14:checkedState w14:val="2612" w14:font="MS Gothic"/>
              <w14:uncheckedState w14:val="2610" w14:font="MS Gothic"/>
            </w14:checkbox>
          </w:sdtPr>
          <w:sdtContent>
            <w:tc>
              <w:tcPr>
                <w:tcW w:w="626" w:type="pct"/>
                <w:shd w:val="clear" w:color="auto" w:fill="FFFFFF" w:themeFill="background1"/>
                <w:vAlign w:val="center"/>
              </w:tcPr>
              <w:p w:rsidR="00C67135" w:rsidRPr="00DC0DC6" w:rsidP="00F56494" w14:paraId="0AC861BE" w14:textId="21EDD34A">
                <w:pPr>
                  <w:jc w:val="center"/>
                  <w:rPr>
                    <w:sz w:val="28"/>
                    <w:szCs w:val="28"/>
                  </w:rPr>
                </w:pPr>
                <w:r>
                  <w:rPr>
                    <w:rFonts w:ascii="MS Gothic" w:eastAsia="MS Gothic" w:hAnsi="MS Gothic" w:hint="eastAsia"/>
                    <w:sz w:val="28"/>
                    <w:szCs w:val="28"/>
                  </w:rPr>
                  <w:t>☐</w:t>
                </w:r>
              </w:p>
            </w:tc>
          </w:sdtContent>
        </w:sdt>
        <w:sdt>
          <w:sdtPr>
            <w:rPr>
              <w:sz w:val="28"/>
              <w:szCs w:val="28"/>
            </w:rPr>
            <w:id w:val="35778701"/>
            <w14:checkbox>
              <w14:checked w14:val="0"/>
              <w14:checkedState w14:val="2612" w14:font="MS Gothic"/>
              <w14:uncheckedState w14:val="2610" w14:font="MS Gothic"/>
            </w14:checkbox>
          </w:sdtPr>
          <w:sdtContent>
            <w:tc>
              <w:tcPr>
                <w:tcW w:w="670" w:type="pct"/>
                <w:vAlign w:val="center"/>
              </w:tcPr>
              <w:p w:rsidR="00C67135" w:rsidRPr="00DC0DC6" w:rsidP="00F56494" w14:paraId="445A6321" w14:textId="31379B06">
                <w:pPr>
                  <w:jc w:val="center"/>
                  <w:rPr>
                    <w:sz w:val="28"/>
                    <w:szCs w:val="28"/>
                  </w:rPr>
                </w:pPr>
                <w:r>
                  <w:rPr>
                    <w:rFonts w:ascii="MS Gothic" w:eastAsia="MS Gothic" w:hAnsi="MS Gothic" w:hint="eastAsia"/>
                    <w:sz w:val="28"/>
                    <w:szCs w:val="28"/>
                  </w:rPr>
                  <w:t>☐</w:t>
                </w:r>
              </w:p>
            </w:tc>
          </w:sdtContent>
        </w:sdt>
      </w:tr>
      <w:tr w14:paraId="3793112C" w14:textId="77777777" w:rsidTr="00AB2C9B">
        <w:tblPrEx>
          <w:tblW w:w="5000" w:type="pct"/>
          <w:tblLayout w:type="fixed"/>
          <w:tblLook w:val="01E0"/>
        </w:tblPrEx>
        <w:trPr>
          <w:trHeight w:val="403"/>
        </w:trPr>
        <w:tc>
          <w:tcPr>
            <w:tcW w:w="3705" w:type="pct"/>
            <w:shd w:val="clear" w:color="auto" w:fill="FFFFFF" w:themeFill="background1"/>
            <w:vAlign w:val="center"/>
          </w:tcPr>
          <w:p w:rsidR="00C67135" w:rsidRPr="000C7FDB" w:rsidP="00134583" w14:paraId="46B163CF" w14:textId="69D271E7">
            <w:pPr>
              <w:pStyle w:val="Lists"/>
              <w:spacing w:before="60" w:after="60"/>
              <w:rPr>
                <w:b/>
                <w:bCs/>
                <w:i/>
                <w:iCs/>
                <w:sz w:val="22"/>
                <w:szCs w:val="22"/>
                <w:lang w:val="en-US"/>
              </w:rPr>
            </w:pPr>
            <w:r>
              <w:rPr>
                <w:b/>
                <w:bCs/>
                <w:sz w:val="22"/>
                <w:szCs w:val="22"/>
                <w:lang w:val="en-US"/>
              </w:rPr>
              <w:t>Report coverage to the IRS</w:t>
            </w:r>
            <w:r>
              <w:rPr>
                <w:b/>
                <w:bCs/>
                <w:sz w:val="22"/>
                <w:szCs w:val="22"/>
                <w:lang w:val="en-US"/>
              </w:rPr>
              <w:t xml:space="preserve"> </w:t>
            </w:r>
            <w:r>
              <w:rPr>
                <w:b/>
                <w:bCs/>
                <w:sz w:val="22"/>
                <w:szCs w:val="22"/>
                <w:lang w:val="en-US"/>
              </w:rPr>
              <w:t>(</w:t>
            </w:r>
            <w:r w:rsidR="005F44D6">
              <w:rPr>
                <w:b/>
                <w:bCs/>
                <w:sz w:val="22"/>
                <w:szCs w:val="22"/>
                <w:lang w:val="en-US"/>
              </w:rPr>
              <w:t xml:space="preserve">ACA </w:t>
            </w:r>
            <w:r>
              <w:rPr>
                <w:b/>
                <w:bCs/>
                <w:sz w:val="22"/>
                <w:szCs w:val="22"/>
                <w:lang w:val="en-US"/>
              </w:rPr>
              <w:t>Forms 1094-B and 1095-B</w:t>
            </w:r>
            <w:r w:rsidR="00192257">
              <w:rPr>
                <w:b/>
                <w:bCs/>
                <w:sz w:val="22"/>
                <w:szCs w:val="22"/>
                <w:lang w:val="en-US"/>
              </w:rPr>
              <w:t>)</w:t>
            </w:r>
            <w:r>
              <w:rPr>
                <w:b/>
                <w:bCs/>
                <w:sz w:val="22"/>
                <w:szCs w:val="22"/>
                <w:lang w:val="en-US"/>
              </w:rPr>
              <w:t xml:space="preserve"> and offer to provide related statements to individuals upon request </w:t>
            </w:r>
            <w:r w:rsidRPr="000C7FDB" w:rsidR="00056B88">
              <w:rPr>
                <w:b/>
                <w:bCs/>
                <w:i/>
                <w:iCs/>
                <w:sz w:val="22"/>
                <w:szCs w:val="22"/>
                <w:lang w:val="en-US"/>
              </w:rPr>
              <w:t>(</w:t>
            </w:r>
            <w:r w:rsidRPr="000C7FDB" w:rsidR="005F44D6">
              <w:rPr>
                <w:b/>
                <w:bCs/>
                <w:i/>
                <w:iCs/>
                <w:sz w:val="22"/>
                <w:szCs w:val="22"/>
                <w:lang w:val="en-US"/>
              </w:rPr>
              <w:t>self-insured health plans only</w:t>
            </w:r>
            <w:r w:rsidRPr="000C7FDB" w:rsidR="00056B88">
              <w:rPr>
                <w:b/>
                <w:bCs/>
                <w:i/>
                <w:iCs/>
                <w:sz w:val="22"/>
                <w:szCs w:val="22"/>
                <w:lang w:val="en-US"/>
              </w:rPr>
              <w:t>)</w:t>
            </w:r>
            <w:r w:rsidRPr="000C7FDB" w:rsidR="009C38D7">
              <w:rPr>
                <w:b/>
                <w:bCs/>
                <w:sz w:val="22"/>
                <w:szCs w:val="22"/>
                <w:lang w:val="en-US"/>
              </w:rPr>
              <w:t>.</w:t>
            </w:r>
          </w:p>
          <w:p w:rsidR="00C67135" w:rsidP="00134583" w14:paraId="15971175" w14:textId="4CC74BEF">
            <w:pPr>
              <w:pStyle w:val="Lists"/>
              <w:spacing w:before="60" w:after="60"/>
              <w:rPr>
                <w:sz w:val="22"/>
                <w:szCs w:val="22"/>
                <w:lang w:val="en-US"/>
              </w:rPr>
            </w:pPr>
            <w:r>
              <w:rPr>
                <w:sz w:val="22"/>
                <w:szCs w:val="22"/>
                <w:lang w:val="en-US"/>
              </w:rPr>
              <w:t xml:space="preserve">Employers with self-insured health plans must file information returns with the IRS every year, reporting information for individuals who were provided with minimum essential coverage during the applicable calendar year. Small employers with insured health plans are not subject to </w:t>
            </w:r>
            <w:r w:rsidR="00056B88">
              <w:rPr>
                <w:sz w:val="22"/>
                <w:szCs w:val="22"/>
                <w:lang w:val="en-US"/>
              </w:rPr>
              <w:t>this</w:t>
            </w:r>
            <w:r>
              <w:rPr>
                <w:sz w:val="22"/>
                <w:szCs w:val="22"/>
                <w:lang w:val="en-US"/>
              </w:rPr>
              <w:t xml:space="preserve"> reporting. </w:t>
            </w:r>
          </w:p>
          <w:p w:rsidR="00C67135" w:rsidP="00134583" w14:paraId="1E4EDDE8" w14:textId="761A6ECD">
            <w:pPr>
              <w:pStyle w:val="Lists"/>
              <w:spacing w:before="60" w:after="60"/>
              <w:rPr>
                <w:sz w:val="22"/>
                <w:szCs w:val="22"/>
                <w:lang w:val="en-US"/>
              </w:rPr>
            </w:pPr>
            <w:r>
              <w:rPr>
                <w:sz w:val="22"/>
                <w:szCs w:val="22"/>
                <w:lang w:val="en-US"/>
              </w:rPr>
              <w:t>Self</w:t>
            </w:r>
            <w:r w:rsidR="0076064B">
              <w:rPr>
                <w:sz w:val="22"/>
                <w:szCs w:val="22"/>
                <w:lang w:val="en-US"/>
              </w:rPr>
              <w:t>-insured e</w:t>
            </w:r>
            <w:r>
              <w:rPr>
                <w:sz w:val="22"/>
                <w:szCs w:val="22"/>
                <w:lang w:val="en-US"/>
              </w:rPr>
              <w:t xml:space="preserve">mployers that are not ALEs use IRS Forms </w:t>
            </w:r>
            <w:hyperlink r:id="rId14" w:history="1">
              <w:r w:rsidRPr="001E51DD">
                <w:rPr>
                  <w:rStyle w:val="Hyperlink"/>
                  <w:sz w:val="22"/>
                  <w:szCs w:val="22"/>
                  <w:lang w:val="en-US"/>
                </w:rPr>
                <w:t>1094-B</w:t>
              </w:r>
            </w:hyperlink>
            <w:r w:rsidRPr="001E51DD">
              <w:rPr>
                <w:sz w:val="22"/>
                <w:szCs w:val="22"/>
                <w:lang w:val="en-US"/>
              </w:rPr>
              <w:t xml:space="preserve"> and </w:t>
            </w:r>
            <w:hyperlink r:id="rId15" w:history="1">
              <w:r w:rsidRPr="001E51DD">
                <w:rPr>
                  <w:rStyle w:val="Hyperlink"/>
                  <w:sz w:val="22"/>
                  <w:szCs w:val="22"/>
                  <w:lang w:val="en-US"/>
                </w:rPr>
                <w:t>1095-B</w:t>
              </w:r>
            </w:hyperlink>
            <w:r w:rsidRPr="001E51DD">
              <w:rPr>
                <w:sz w:val="22"/>
                <w:szCs w:val="22"/>
                <w:lang w:val="en-US"/>
              </w:rPr>
              <w:t xml:space="preserve"> </w:t>
            </w:r>
            <w:r>
              <w:rPr>
                <w:sz w:val="22"/>
                <w:szCs w:val="22"/>
                <w:lang w:val="en-US"/>
              </w:rPr>
              <w:t xml:space="preserve">for this reporting requirement. In general, the reporting deadline is </w:t>
            </w:r>
            <w:r w:rsidRPr="00F41677">
              <w:rPr>
                <w:b/>
                <w:bCs/>
                <w:sz w:val="22"/>
                <w:szCs w:val="22"/>
                <w:lang w:val="en-US"/>
              </w:rPr>
              <w:t>March 31</w:t>
            </w:r>
            <w:r>
              <w:rPr>
                <w:sz w:val="22"/>
                <w:szCs w:val="22"/>
                <w:lang w:val="en-US"/>
              </w:rPr>
              <w:t xml:space="preserve"> each year, although employers may request an automatic 30-day extension </w:t>
            </w:r>
            <w:r w:rsidRPr="001E51DD">
              <w:rPr>
                <w:sz w:val="22"/>
                <w:szCs w:val="22"/>
                <w:lang w:val="en-US"/>
              </w:rPr>
              <w:t xml:space="preserve">by filing </w:t>
            </w:r>
            <w:hyperlink r:id="rId16" w:history="1">
              <w:r w:rsidRPr="001E51DD">
                <w:rPr>
                  <w:rStyle w:val="Hyperlink"/>
                  <w:sz w:val="22"/>
                  <w:szCs w:val="22"/>
                  <w:lang w:val="en-US"/>
                </w:rPr>
                <w:t>Form 8809</w:t>
              </w:r>
            </w:hyperlink>
            <w:r w:rsidRPr="001E51DD">
              <w:rPr>
                <w:sz w:val="22"/>
                <w:szCs w:val="22"/>
                <w:lang w:val="en-US"/>
              </w:rPr>
              <w:t xml:space="preserve"> by the filing due date</w:t>
            </w:r>
            <w:r>
              <w:rPr>
                <w:sz w:val="22"/>
                <w:szCs w:val="22"/>
                <w:lang w:val="en-US"/>
              </w:rPr>
              <w:t xml:space="preserve">. </w:t>
            </w:r>
          </w:p>
          <w:p w:rsidR="00C67135" w:rsidP="00134583" w14:paraId="1AAEBA44" w14:textId="48760259">
            <w:pPr>
              <w:pStyle w:val="Lists"/>
              <w:spacing w:before="60" w:after="60"/>
              <w:rPr>
                <w:b/>
                <w:bCs/>
                <w:sz w:val="22"/>
                <w:szCs w:val="22"/>
                <w:lang w:val="en-US"/>
              </w:rPr>
            </w:pPr>
            <w:r>
              <w:rPr>
                <w:sz w:val="22"/>
                <w:szCs w:val="22"/>
                <w:lang w:val="en-US"/>
              </w:rPr>
              <w:t>In addition, e</w:t>
            </w:r>
            <w:r w:rsidRPr="001E51DD">
              <w:rPr>
                <w:sz w:val="22"/>
                <w:szCs w:val="22"/>
                <w:lang w:val="en-US"/>
              </w:rPr>
              <w:t>mployers</w:t>
            </w:r>
            <w:r w:rsidR="00BB476C">
              <w:rPr>
                <w:sz w:val="22"/>
                <w:szCs w:val="22"/>
                <w:lang w:val="en-US"/>
              </w:rPr>
              <w:t xml:space="preserve"> with self-insured health plans</w:t>
            </w:r>
            <w:r w:rsidRPr="001E51DD">
              <w:rPr>
                <w:sz w:val="22"/>
                <w:szCs w:val="22"/>
                <w:lang w:val="en-US"/>
              </w:rPr>
              <w:t xml:space="preserve"> must post a clear, conspicuous and reasonably accessible website notice by </w:t>
            </w:r>
            <w:r w:rsidRPr="00F5079A">
              <w:rPr>
                <w:b/>
                <w:bCs/>
                <w:sz w:val="22"/>
                <w:szCs w:val="22"/>
                <w:lang w:val="en-US"/>
              </w:rPr>
              <w:t>March 2</w:t>
            </w:r>
            <w:r w:rsidRPr="001E51DD">
              <w:rPr>
                <w:sz w:val="22"/>
                <w:szCs w:val="22"/>
                <w:lang w:val="en-US"/>
              </w:rPr>
              <w:t xml:space="preserve"> (or March 1 in a leap year), stating that employees may receive a copy of their individual coverage statement upon request. This notice must remain posted through Oct. 15. In general, requests must be fulfilled within 30 days after the date of the request. Instead of posting the notice and providing statements upon request, employers may automatically furnish individual coverage statements by the deadline for posting the website notice.</w:t>
            </w:r>
          </w:p>
        </w:tc>
        <w:sdt>
          <w:sdtPr>
            <w:rPr>
              <w:sz w:val="28"/>
              <w:szCs w:val="28"/>
            </w:rPr>
            <w:id w:val="-1871828493"/>
            <w14:checkbox>
              <w14:checked w14:val="0"/>
              <w14:checkedState w14:val="2612" w14:font="MS Gothic"/>
              <w14:uncheckedState w14:val="2610" w14:font="MS Gothic"/>
            </w14:checkbox>
          </w:sdtPr>
          <w:sdtContent>
            <w:tc>
              <w:tcPr>
                <w:tcW w:w="626" w:type="pct"/>
                <w:shd w:val="clear" w:color="auto" w:fill="FFFFFF" w:themeFill="background1"/>
                <w:vAlign w:val="center"/>
              </w:tcPr>
              <w:p w:rsidR="00C67135" w:rsidRPr="00DC0DC6" w:rsidP="00F56494" w14:paraId="103A5A56" w14:textId="0C615BC7">
                <w:pPr>
                  <w:jc w:val="center"/>
                  <w:rPr>
                    <w:sz w:val="28"/>
                    <w:szCs w:val="28"/>
                  </w:rPr>
                </w:pPr>
                <w:r>
                  <w:rPr>
                    <w:rFonts w:ascii="MS Gothic" w:eastAsia="MS Gothic" w:hAnsi="MS Gothic" w:hint="eastAsia"/>
                    <w:sz w:val="28"/>
                    <w:szCs w:val="28"/>
                  </w:rPr>
                  <w:t>☐</w:t>
                </w:r>
              </w:p>
            </w:tc>
          </w:sdtContent>
        </w:sdt>
        <w:sdt>
          <w:sdtPr>
            <w:rPr>
              <w:sz w:val="28"/>
              <w:szCs w:val="28"/>
            </w:rPr>
            <w:id w:val="-1160302503"/>
            <w14:checkbox>
              <w14:checked w14:val="0"/>
              <w14:checkedState w14:val="2612" w14:font="MS Gothic"/>
              <w14:uncheckedState w14:val="2610" w14:font="MS Gothic"/>
            </w14:checkbox>
          </w:sdtPr>
          <w:sdtContent>
            <w:tc>
              <w:tcPr>
                <w:tcW w:w="670" w:type="pct"/>
                <w:vAlign w:val="center"/>
              </w:tcPr>
              <w:p w:rsidR="00C67135" w:rsidRPr="00DC0DC6" w:rsidP="00F56494" w14:paraId="29A84606" w14:textId="0012670C">
                <w:pPr>
                  <w:jc w:val="center"/>
                  <w:rPr>
                    <w:sz w:val="28"/>
                    <w:szCs w:val="28"/>
                  </w:rPr>
                </w:pPr>
                <w:r>
                  <w:rPr>
                    <w:rFonts w:ascii="MS Gothic" w:eastAsia="MS Gothic" w:hAnsi="MS Gothic" w:hint="eastAsia"/>
                    <w:sz w:val="28"/>
                    <w:szCs w:val="28"/>
                  </w:rPr>
                  <w:t>☐</w:t>
                </w:r>
              </w:p>
            </w:tc>
          </w:sdtContent>
        </w:sdt>
      </w:tr>
      <w:tr w14:paraId="218B6C90" w14:textId="77777777" w:rsidTr="00AB2C9B">
        <w:tblPrEx>
          <w:tblW w:w="5000" w:type="pct"/>
          <w:tblLayout w:type="fixed"/>
          <w:tblLook w:val="01E0"/>
        </w:tblPrEx>
        <w:trPr>
          <w:trHeight w:val="403"/>
        </w:trPr>
        <w:tc>
          <w:tcPr>
            <w:tcW w:w="3705" w:type="pct"/>
            <w:shd w:val="clear" w:color="auto" w:fill="FFFFFF" w:themeFill="background1"/>
            <w:vAlign w:val="center"/>
          </w:tcPr>
          <w:p w:rsidR="00AB2C9B" w:rsidRPr="00215B01" w:rsidP="00134583" w14:paraId="14B3D527" w14:textId="70B01AE2">
            <w:pPr>
              <w:pStyle w:val="Lists"/>
              <w:spacing w:before="60" w:after="60"/>
              <w:rPr>
                <w:b/>
                <w:bCs/>
                <w:sz w:val="22"/>
                <w:szCs w:val="22"/>
                <w:lang w:val="en-US"/>
              </w:rPr>
            </w:pPr>
            <w:r w:rsidRPr="00215B01">
              <w:rPr>
                <w:b/>
                <w:bCs/>
                <w:sz w:val="22"/>
                <w:szCs w:val="22"/>
                <w:lang w:val="en-US"/>
              </w:rPr>
              <w:t xml:space="preserve">Submit detailed information on prescription drug and health care </w:t>
            </w:r>
            <w:r w:rsidRPr="00215B01" w:rsidR="00204144">
              <w:rPr>
                <w:b/>
                <w:bCs/>
                <w:sz w:val="22"/>
                <w:szCs w:val="22"/>
                <w:lang w:val="en-US"/>
              </w:rPr>
              <w:t>spending</w:t>
            </w:r>
            <w:r w:rsidR="00204144">
              <w:rPr>
                <w:b/>
                <w:bCs/>
                <w:sz w:val="22"/>
                <w:szCs w:val="22"/>
                <w:lang w:val="en-US"/>
              </w:rPr>
              <w:t xml:space="preserve"> to</w:t>
            </w:r>
            <w:r w:rsidR="00871B2F">
              <w:rPr>
                <w:b/>
                <w:bCs/>
                <w:sz w:val="22"/>
                <w:szCs w:val="22"/>
                <w:lang w:val="en-US"/>
              </w:rPr>
              <w:t xml:space="preserve"> CMS</w:t>
            </w:r>
            <w:r w:rsidRPr="00215B01">
              <w:rPr>
                <w:b/>
                <w:bCs/>
                <w:sz w:val="22"/>
                <w:szCs w:val="22"/>
                <w:lang w:val="en-US"/>
              </w:rPr>
              <w:t xml:space="preserve"> </w:t>
            </w:r>
            <w:r>
              <w:rPr>
                <w:b/>
                <w:bCs/>
                <w:sz w:val="22"/>
                <w:szCs w:val="22"/>
                <w:lang w:val="en-US"/>
              </w:rPr>
              <w:t>(RxDC reporting)</w:t>
            </w:r>
            <w:r w:rsidR="00DC4C6F">
              <w:rPr>
                <w:b/>
                <w:bCs/>
                <w:sz w:val="22"/>
                <w:szCs w:val="22"/>
                <w:lang w:val="en-US"/>
              </w:rPr>
              <w:t>.</w:t>
            </w:r>
          </w:p>
          <w:p w:rsidR="00AB2C9B" w:rsidRPr="00BB4108" w:rsidP="00134583" w14:paraId="6A5DEA89" w14:textId="4A57D54A">
            <w:pPr>
              <w:pStyle w:val="Lists"/>
              <w:spacing w:before="60" w:after="60"/>
              <w:rPr>
                <w:sz w:val="22"/>
                <w:szCs w:val="22"/>
                <w:lang w:val="en-US"/>
              </w:rPr>
            </w:pPr>
            <w:r>
              <w:rPr>
                <w:sz w:val="22"/>
                <w:szCs w:val="22"/>
                <w:lang w:val="en-US"/>
              </w:rPr>
              <w:t>Employers</w:t>
            </w:r>
            <w:r w:rsidRPr="004F3E33">
              <w:rPr>
                <w:sz w:val="22"/>
                <w:szCs w:val="22"/>
                <w:lang w:val="en-US"/>
              </w:rPr>
              <w:t xml:space="preserve"> must annually submit detailed information on </w:t>
            </w:r>
            <w:r>
              <w:rPr>
                <w:sz w:val="22"/>
                <w:szCs w:val="22"/>
                <w:lang w:val="en-US"/>
              </w:rPr>
              <w:t xml:space="preserve">their health plan’s </w:t>
            </w:r>
            <w:r w:rsidRPr="004F3E33">
              <w:rPr>
                <w:sz w:val="22"/>
                <w:szCs w:val="22"/>
                <w:lang w:val="en-US"/>
              </w:rPr>
              <w:t xml:space="preserve">prescription drug and health care spending to </w:t>
            </w:r>
            <w:r>
              <w:rPr>
                <w:sz w:val="22"/>
                <w:szCs w:val="22"/>
                <w:lang w:val="en-US"/>
              </w:rPr>
              <w:t xml:space="preserve">CMS by </w:t>
            </w:r>
            <w:r w:rsidRPr="00275F98">
              <w:rPr>
                <w:b/>
                <w:bCs/>
                <w:sz w:val="22"/>
                <w:szCs w:val="22"/>
                <w:lang w:val="en-US"/>
              </w:rPr>
              <w:t>June 1</w:t>
            </w:r>
            <w:r>
              <w:rPr>
                <w:sz w:val="22"/>
                <w:szCs w:val="22"/>
                <w:lang w:val="en-US"/>
              </w:rPr>
              <w:t xml:space="preserve"> each year</w:t>
            </w:r>
            <w:r w:rsidRPr="004F3E33">
              <w:rPr>
                <w:sz w:val="22"/>
                <w:szCs w:val="22"/>
                <w:lang w:val="en-US"/>
              </w:rPr>
              <w:t xml:space="preserve">. This reporting is referred to as the </w:t>
            </w:r>
            <w:hyperlink r:id="rId17" w:history="1">
              <w:r w:rsidRPr="0035155D">
                <w:rPr>
                  <w:rStyle w:val="Hyperlink"/>
                  <w:sz w:val="22"/>
                  <w:szCs w:val="22"/>
                  <w:lang w:val="en-US"/>
                </w:rPr>
                <w:t>prescription drug data collection</w:t>
              </w:r>
            </w:hyperlink>
            <w:r w:rsidRPr="004F3E33">
              <w:rPr>
                <w:sz w:val="22"/>
                <w:szCs w:val="22"/>
                <w:lang w:val="en-US"/>
              </w:rPr>
              <w:t xml:space="preserve"> (or RxDC report). </w:t>
            </w:r>
            <w:r w:rsidRPr="00F92BB8">
              <w:rPr>
                <w:sz w:val="22"/>
                <w:szCs w:val="22"/>
                <w:lang w:val="en-US"/>
              </w:rPr>
              <w:t xml:space="preserve">Most employers rely on third parties, such as </w:t>
            </w:r>
            <w:r w:rsidR="00B650D4">
              <w:rPr>
                <w:sz w:val="22"/>
                <w:szCs w:val="22"/>
                <w:lang w:val="en-US"/>
              </w:rPr>
              <w:t xml:space="preserve">health insurance </w:t>
            </w:r>
            <w:r w:rsidRPr="00F92BB8">
              <w:rPr>
                <w:sz w:val="22"/>
                <w:szCs w:val="22"/>
                <w:lang w:val="en-US"/>
              </w:rPr>
              <w:t>issuers,</w:t>
            </w:r>
            <w:r>
              <w:rPr>
                <w:sz w:val="22"/>
                <w:szCs w:val="22"/>
                <w:lang w:val="en-US"/>
              </w:rPr>
              <w:t xml:space="preserve"> </w:t>
            </w:r>
            <w:r w:rsidRPr="00F92BB8">
              <w:rPr>
                <w:sz w:val="22"/>
                <w:szCs w:val="22"/>
                <w:lang w:val="en-US"/>
              </w:rPr>
              <w:t>third-party administrators (TPAs) or pharmacy benefit managers, to prepare and submit the RxDC report for their health</w:t>
            </w:r>
            <w:r>
              <w:rPr>
                <w:sz w:val="22"/>
                <w:szCs w:val="22"/>
                <w:lang w:val="en-US"/>
              </w:rPr>
              <w:t xml:space="preserve"> </w:t>
            </w:r>
            <w:r w:rsidRPr="00F92BB8">
              <w:rPr>
                <w:sz w:val="22"/>
                <w:szCs w:val="22"/>
                <w:lang w:val="en-US"/>
              </w:rPr>
              <w:t>plans.</w:t>
            </w:r>
          </w:p>
        </w:tc>
        <w:sdt>
          <w:sdtPr>
            <w:rPr>
              <w:sz w:val="28"/>
              <w:szCs w:val="28"/>
            </w:rPr>
            <w:id w:val="1476729159"/>
            <w14:checkbox>
              <w14:checked w14:val="0"/>
              <w14:checkedState w14:val="2612" w14:font="MS Gothic"/>
              <w14:uncheckedState w14:val="2610" w14:font="MS Gothic"/>
            </w14:checkbox>
          </w:sdtPr>
          <w:sdtContent>
            <w:tc>
              <w:tcPr>
                <w:tcW w:w="626" w:type="pct"/>
                <w:shd w:val="clear" w:color="auto" w:fill="FFFFFF" w:themeFill="background1"/>
                <w:vAlign w:val="center"/>
              </w:tcPr>
              <w:p w:rsidR="00AB2C9B" w:rsidRPr="00DC0DC6" w:rsidP="00F56494" w14:paraId="604D829A" w14:textId="05BD4ACF">
                <w:pPr>
                  <w:jc w:val="center"/>
                  <w:rPr>
                    <w:sz w:val="28"/>
                    <w:szCs w:val="28"/>
                  </w:rPr>
                </w:pPr>
                <w:r>
                  <w:rPr>
                    <w:rFonts w:ascii="MS Gothic" w:eastAsia="MS Gothic" w:hAnsi="MS Gothic" w:hint="eastAsia"/>
                    <w:sz w:val="28"/>
                    <w:szCs w:val="28"/>
                  </w:rPr>
                  <w:t>☐</w:t>
                </w:r>
              </w:p>
            </w:tc>
          </w:sdtContent>
        </w:sdt>
        <w:sdt>
          <w:sdtPr>
            <w:rPr>
              <w:sz w:val="28"/>
              <w:szCs w:val="28"/>
            </w:rPr>
            <w:id w:val="-1169400120"/>
            <w14:checkbox>
              <w14:checked w14:val="0"/>
              <w14:checkedState w14:val="2612" w14:font="MS Gothic"/>
              <w14:uncheckedState w14:val="2610" w14:font="MS Gothic"/>
            </w14:checkbox>
          </w:sdtPr>
          <w:sdtContent>
            <w:tc>
              <w:tcPr>
                <w:tcW w:w="670" w:type="pct"/>
                <w:vAlign w:val="center"/>
              </w:tcPr>
              <w:p w:rsidR="00AB2C9B" w:rsidRPr="00DC0DC6" w:rsidP="00F56494" w14:paraId="1898308E" w14:textId="35FAE274">
                <w:pPr>
                  <w:jc w:val="center"/>
                  <w:rPr>
                    <w:sz w:val="28"/>
                    <w:szCs w:val="28"/>
                  </w:rPr>
                </w:pPr>
                <w:r w:rsidRPr="00DC0DC6">
                  <w:rPr>
                    <w:rFonts w:ascii="MS Gothic" w:eastAsia="MS Gothic" w:hAnsi="MS Gothic" w:hint="eastAsia"/>
                    <w:sz w:val="28"/>
                    <w:szCs w:val="28"/>
                  </w:rPr>
                  <w:t>☐</w:t>
                </w:r>
              </w:p>
            </w:tc>
          </w:sdtContent>
        </w:sdt>
      </w:tr>
      <w:tr w14:paraId="17F63328" w14:textId="77777777" w:rsidTr="00AB2C9B">
        <w:tblPrEx>
          <w:tblW w:w="5000" w:type="pct"/>
          <w:tblLayout w:type="fixed"/>
          <w:tblLook w:val="01E0"/>
        </w:tblPrEx>
        <w:trPr>
          <w:trHeight w:val="403"/>
        </w:trPr>
        <w:tc>
          <w:tcPr>
            <w:tcW w:w="3705" w:type="pct"/>
            <w:shd w:val="clear" w:color="auto" w:fill="FFFFFF" w:themeFill="background1"/>
            <w:vAlign w:val="center"/>
          </w:tcPr>
          <w:p w:rsidR="00AB2C9B" w:rsidP="00134583" w14:paraId="240E0E80" w14:textId="3C3A0450">
            <w:pPr>
              <w:pStyle w:val="Lists"/>
              <w:spacing w:before="60" w:after="60"/>
              <w:rPr>
                <w:b/>
                <w:bCs/>
                <w:sz w:val="22"/>
                <w:szCs w:val="22"/>
                <w:lang w:val="en-US"/>
              </w:rPr>
            </w:pPr>
            <w:r>
              <w:rPr>
                <w:b/>
                <w:bCs/>
                <w:sz w:val="22"/>
                <w:szCs w:val="22"/>
                <w:lang w:val="en-US"/>
              </w:rPr>
              <w:t xml:space="preserve">Report and pay PCORI fees </w:t>
            </w:r>
            <w:r w:rsidRPr="000C7FDB" w:rsidR="005F44D6">
              <w:rPr>
                <w:b/>
                <w:bCs/>
                <w:i/>
                <w:iCs/>
                <w:sz w:val="22"/>
                <w:szCs w:val="22"/>
                <w:lang w:val="en-US"/>
              </w:rPr>
              <w:t>(self-insured health plans only)</w:t>
            </w:r>
            <w:r w:rsidR="00DC4C6F">
              <w:rPr>
                <w:b/>
                <w:bCs/>
                <w:sz w:val="22"/>
                <w:szCs w:val="22"/>
                <w:lang w:val="en-US"/>
              </w:rPr>
              <w:t>.</w:t>
            </w:r>
          </w:p>
          <w:p w:rsidR="00AB2C9B" w:rsidRPr="00E041D6" w:rsidP="00134583" w14:paraId="5557C34A" w14:textId="31638618">
            <w:pPr>
              <w:pStyle w:val="Lists"/>
              <w:spacing w:before="60" w:after="60"/>
              <w:rPr>
                <w:sz w:val="22"/>
                <w:szCs w:val="22"/>
                <w:lang w:val="en-US"/>
              </w:rPr>
            </w:pPr>
            <w:r>
              <w:rPr>
                <w:sz w:val="22"/>
                <w:szCs w:val="22"/>
                <w:lang w:val="en-US"/>
              </w:rPr>
              <w:t>Employers with self-insured health plans must pay annual Patient-Centered Outcomes Research Institute (PCORI) fees to fund comparative effective</w:t>
            </w:r>
            <w:r w:rsidR="007E539A">
              <w:rPr>
                <w:sz w:val="22"/>
                <w:szCs w:val="22"/>
                <w:lang w:val="en-US"/>
              </w:rPr>
              <w:t>nes</w:t>
            </w:r>
            <w:r>
              <w:rPr>
                <w:sz w:val="22"/>
                <w:szCs w:val="22"/>
                <w:lang w:val="en-US"/>
              </w:rPr>
              <w:t>s research. Currently, these fees apply through the plan year ending before Oct. 1, 2029. PCORI</w:t>
            </w:r>
            <w:r w:rsidRPr="00EB769C">
              <w:rPr>
                <w:sz w:val="22"/>
                <w:szCs w:val="22"/>
                <w:lang w:val="en-US"/>
              </w:rPr>
              <w:t xml:space="preserve"> fees are due each year by </w:t>
            </w:r>
            <w:r w:rsidRPr="00415043">
              <w:rPr>
                <w:b/>
                <w:bCs/>
                <w:sz w:val="22"/>
                <w:szCs w:val="22"/>
                <w:lang w:val="en-US"/>
              </w:rPr>
              <w:t>July 31</w:t>
            </w:r>
            <w:r w:rsidRPr="00EB769C">
              <w:rPr>
                <w:sz w:val="22"/>
                <w:szCs w:val="22"/>
                <w:lang w:val="en-US"/>
              </w:rPr>
              <w:t xml:space="preserve"> of the year following the last day of the plan year</w:t>
            </w:r>
            <w:r>
              <w:rPr>
                <w:sz w:val="22"/>
                <w:szCs w:val="22"/>
                <w:lang w:val="en-US"/>
              </w:rPr>
              <w:t xml:space="preserve"> and are reported and paid on </w:t>
            </w:r>
            <w:hyperlink r:id="rId18" w:history="1">
              <w:r w:rsidRPr="00EB769C">
                <w:rPr>
                  <w:rStyle w:val="Hyperlink"/>
                  <w:sz w:val="22"/>
                  <w:szCs w:val="22"/>
                  <w:lang w:val="en-US"/>
                </w:rPr>
                <w:t>IRS Form 720</w:t>
              </w:r>
            </w:hyperlink>
            <w:r w:rsidRPr="00EB769C">
              <w:rPr>
                <w:sz w:val="22"/>
                <w:szCs w:val="22"/>
                <w:lang w:val="en-US"/>
              </w:rPr>
              <w:t xml:space="preserve"> (Quarterly Federal Excise Tax Return).</w:t>
            </w:r>
            <w:r w:rsidR="00A11375">
              <w:rPr>
                <w:sz w:val="22"/>
                <w:szCs w:val="22"/>
                <w:lang w:val="en-US"/>
              </w:rPr>
              <w:t xml:space="preserve"> </w:t>
            </w:r>
            <w:r w:rsidRPr="00EB769C">
              <w:rPr>
                <w:sz w:val="22"/>
                <w:szCs w:val="22"/>
                <w:lang w:val="en-US"/>
              </w:rPr>
              <w:t>PCORI fees are calculated based on the average number of covered lives under the plan</w:t>
            </w:r>
            <w:r>
              <w:rPr>
                <w:sz w:val="22"/>
                <w:szCs w:val="22"/>
                <w:lang w:val="en-US"/>
              </w:rPr>
              <w:t xml:space="preserve">. However, special rules apply to health flexible spending accounts (FSAs) and health reimbursement arrangements (HRAs). </w:t>
            </w:r>
          </w:p>
        </w:tc>
        <w:sdt>
          <w:sdtPr>
            <w:rPr>
              <w:sz w:val="28"/>
              <w:szCs w:val="28"/>
            </w:rPr>
            <w:id w:val="1258016668"/>
            <w14:checkbox>
              <w14:checked w14:val="0"/>
              <w14:checkedState w14:val="2612" w14:font="MS Gothic"/>
              <w14:uncheckedState w14:val="2610" w14:font="MS Gothic"/>
            </w14:checkbox>
          </w:sdtPr>
          <w:sdtContent>
            <w:tc>
              <w:tcPr>
                <w:tcW w:w="626" w:type="pct"/>
                <w:shd w:val="clear" w:color="auto" w:fill="FFFFFF" w:themeFill="background1"/>
                <w:vAlign w:val="center"/>
              </w:tcPr>
              <w:p w:rsidR="00AB2C9B" w:rsidRPr="00DC0DC6" w:rsidP="002567DC" w14:paraId="4BBB65F9" w14:textId="3FE3A64A">
                <w:pPr>
                  <w:jc w:val="center"/>
                  <w:rPr>
                    <w:sz w:val="28"/>
                    <w:szCs w:val="28"/>
                  </w:rPr>
                </w:pPr>
                <w:r>
                  <w:rPr>
                    <w:rFonts w:ascii="MS Gothic" w:eastAsia="MS Gothic" w:hAnsi="MS Gothic" w:hint="eastAsia"/>
                    <w:sz w:val="28"/>
                    <w:szCs w:val="28"/>
                  </w:rPr>
                  <w:t>☐</w:t>
                </w:r>
              </w:p>
            </w:tc>
          </w:sdtContent>
        </w:sdt>
        <w:sdt>
          <w:sdtPr>
            <w:rPr>
              <w:sz w:val="28"/>
              <w:szCs w:val="28"/>
            </w:rPr>
            <w:id w:val="2044406230"/>
            <w14:checkbox>
              <w14:checked w14:val="0"/>
              <w14:checkedState w14:val="2612" w14:font="MS Gothic"/>
              <w14:uncheckedState w14:val="2610" w14:font="MS Gothic"/>
            </w14:checkbox>
          </w:sdtPr>
          <w:sdtContent>
            <w:tc>
              <w:tcPr>
                <w:tcW w:w="670" w:type="pct"/>
                <w:vAlign w:val="center"/>
              </w:tcPr>
              <w:p w:rsidR="00AB2C9B" w:rsidRPr="00DC0DC6" w:rsidP="002567DC" w14:paraId="6F43D2AD" w14:textId="77777777">
                <w:pPr>
                  <w:jc w:val="center"/>
                  <w:rPr>
                    <w:sz w:val="28"/>
                    <w:szCs w:val="28"/>
                  </w:rPr>
                </w:pPr>
                <w:r w:rsidRPr="00DC0DC6">
                  <w:rPr>
                    <w:rFonts w:ascii="MS Gothic" w:eastAsia="MS Gothic" w:hAnsi="MS Gothic" w:hint="eastAsia"/>
                    <w:sz w:val="28"/>
                    <w:szCs w:val="28"/>
                  </w:rPr>
                  <w:t>☐</w:t>
                </w:r>
              </w:p>
            </w:tc>
          </w:sdtContent>
        </w:sdt>
      </w:tr>
      <w:tr w14:paraId="0BDA98AC" w14:textId="77777777" w:rsidTr="00AB2C9B">
        <w:tblPrEx>
          <w:tblW w:w="5000" w:type="pct"/>
          <w:tblLayout w:type="fixed"/>
          <w:tblLook w:val="01E0"/>
        </w:tblPrEx>
        <w:trPr>
          <w:trHeight w:val="403"/>
        </w:trPr>
        <w:tc>
          <w:tcPr>
            <w:tcW w:w="3705" w:type="pct"/>
            <w:shd w:val="clear" w:color="auto" w:fill="FFFFFF" w:themeFill="background1"/>
            <w:vAlign w:val="center"/>
          </w:tcPr>
          <w:p w:rsidR="00AB2C9B" w:rsidP="00134583" w14:paraId="17AE12FA" w14:textId="45FD8B36">
            <w:pPr>
              <w:pStyle w:val="Lists"/>
              <w:spacing w:before="60" w:after="60"/>
              <w:rPr>
                <w:b/>
                <w:bCs/>
                <w:sz w:val="22"/>
                <w:szCs w:val="22"/>
                <w:lang w:val="en-US"/>
              </w:rPr>
            </w:pPr>
            <w:r>
              <w:rPr>
                <w:b/>
                <w:bCs/>
                <w:sz w:val="22"/>
                <w:szCs w:val="22"/>
                <w:lang w:val="en-US"/>
              </w:rPr>
              <w:t xml:space="preserve">File Form 5500 </w:t>
            </w:r>
            <w:r w:rsidR="008F662E">
              <w:rPr>
                <w:b/>
                <w:bCs/>
                <w:sz w:val="22"/>
                <w:szCs w:val="22"/>
                <w:lang w:val="en-US"/>
              </w:rPr>
              <w:t xml:space="preserve">with the </w:t>
            </w:r>
            <w:r w:rsidR="00386EB3">
              <w:rPr>
                <w:b/>
                <w:bCs/>
                <w:sz w:val="22"/>
                <w:szCs w:val="22"/>
                <w:lang w:val="en-US"/>
              </w:rPr>
              <w:t>Department of Labor (DOL</w:t>
            </w:r>
            <w:r w:rsidRPr="000C7FDB" w:rsidR="00386EB3">
              <w:rPr>
                <w:b/>
                <w:bCs/>
                <w:i/>
                <w:iCs/>
                <w:sz w:val="22"/>
                <w:szCs w:val="22"/>
                <w:lang w:val="en-US"/>
              </w:rPr>
              <w:t xml:space="preserve">) </w:t>
            </w:r>
            <w:r w:rsidRPr="000C7FDB" w:rsidR="008F662E">
              <w:rPr>
                <w:b/>
                <w:bCs/>
                <w:i/>
                <w:iCs/>
                <w:sz w:val="22"/>
                <w:szCs w:val="22"/>
                <w:lang w:val="en-US"/>
              </w:rPr>
              <w:t>(</w:t>
            </w:r>
            <w:r w:rsidRPr="000C7FDB">
              <w:rPr>
                <w:b/>
                <w:bCs/>
                <w:i/>
                <w:iCs/>
                <w:sz w:val="22"/>
                <w:szCs w:val="22"/>
                <w:lang w:val="en-US"/>
              </w:rPr>
              <w:t>if the small plan exemption does not apply)</w:t>
            </w:r>
            <w:r w:rsidR="00DC4C6F">
              <w:rPr>
                <w:b/>
                <w:bCs/>
                <w:sz w:val="22"/>
                <w:szCs w:val="22"/>
                <w:lang w:val="en-US"/>
              </w:rPr>
              <w:t>.</w:t>
            </w:r>
          </w:p>
          <w:p w:rsidR="00AB2C9B" w:rsidP="00134583" w14:paraId="6B6EEF69" w14:textId="7B59EFE7">
            <w:pPr>
              <w:pStyle w:val="Lists"/>
              <w:spacing w:before="60" w:after="60"/>
              <w:rPr>
                <w:sz w:val="22"/>
                <w:szCs w:val="22"/>
                <w:lang w:val="en-US"/>
              </w:rPr>
            </w:pPr>
            <w:r>
              <w:rPr>
                <w:sz w:val="22"/>
                <w:szCs w:val="22"/>
                <w:lang w:val="en-US"/>
              </w:rPr>
              <w:t xml:space="preserve">Employers must file </w:t>
            </w:r>
            <w:hyperlink r:id="rId19" w:history="1">
              <w:r w:rsidRPr="00155F60">
                <w:rPr>
                  <w:rStyle w:val="Hyperlink"/>
                  <w:sz w:val="22"/>
                  <w:szCs w:val="22"/>
                  <w:lang w:val="en-US"/>
                </w:rPr>
                <w:t>Form 5500</w:t>
              </w:r>
            </w:hyperlink>
            <w:r w:rsidRPr="00F72A74">
              <w:rPr>
                <w:sz w:val="22"/>
                <w:szCs w:val="22"/>
                <w:lang w:val="en-US"/>
              </w:rPr>
              <w:t xml:space="preserve"> </w:t>
            </w:r>
            <w:r>
              <w:rPr>
                <w:sz w:val="22"/>
                <w:szCs w:val="22"/>
                <w:lang w:val="en-US"/>
              </w:rPr>
              <w:t xml:space="preserve">for their ERISA-covered employee benefit plans </w:t>
            </w:r>
            <w:r w:rsidR="008F0A26">
              <w:rPr>
                <w:sz w:val="22"/>
                <w:szCs w:val="22"/>
                <w:lang w:val="en-US"/>
              </w:rPr>
              <w:t xml:space="preserve">with the DOL </w:t>
            </w:r>
            <w:r>
              <w:rPr>
                <w:sz w:val="22"/>
                <w:szCs w:val="22"/>
                <w:lang w:val="en-US"/>
              </w:rPr>
              <w:t xml:space="preserve">by the last day of the seventh month following the </w:t>
            </w:r>
            <w:r w:rsidRPr="00F72A74">
              <w:rPr>
                <w:sz w:val="22"/>
                <w:szCs w:val="22"/>
                <w:lang w:val="en-US"/>
              </w:rPr>
              <w:t>end of the plan year. For calendar-year plans, this</w:t>
            </w:r>
            <w:r>
              <w:rPr>
                <w:sz w:val="22"/>
                <w:szCs w:val="22"/>
                <w:lang w:val="en-US"/>
              </w:rPr>
              <w:t xml:space="preserve"> </w:t>
            </w:r>
            <w:r w:rsidRPr="00F72A74">
              <w:rPr>
                <w:sz w:val="22"/>
                <w:szCs w:val="22"/>
                <w:lang w:val="en-US"/>
              </w:rPr>
              <w:t xml:space="preserve">deadline is </w:t>
            </w:r>
            <w:r w:rsidRPr="0004681B">
              <w:rPr>
                <w:b/>
                <w:bCs/>
                <w:sz w:val="22"/>
                <w:szCs w:val="22"/>
                <w:lang w:val="en-US"/>
              </w:rPr>
              <w:t>July 31</w:t>
            </w:r>
            <w:r w:rsidRPr="00F72A74">
              <w:rPr>
                <w:sz w:val="22"/>
                <w:szCs w:val="22"/>
                <w:lang w:val="en-US"/>
              </w:rPr>
              <w:t>. An automatic extension of 2.5 months may</w:t>
            </w:r>
            <w:r>
              <w:rPr>
                <w:sz w:val="22"/>
                <w:szCs w:val="22"/>
                <w:lang w:val="en-US"/>
              </w:rPr>
              <w:t xml:space="preserve"> </w:t>
            </w:r>
            <w:r w:rsidRPr="00F72A74">
              <w:rPr>
                <w:sz w:val="22"/>
                <w:szCs w:val="22"/>
                <w:lang w:val="en-US"/>
              </w:rPr>
              <w:t xml:space="preserve">be requested by filing IRS </w:t>
            </w:r>
            <w:hyperlink r:id="rId20" w:history="1">
              <w:r w:rsidRPr="00155F60">
                <w:rPr>
                  <w:rStyle w:val="Hyperlink"/>
                  <w:sz w:val="22"/>
                  <w:szCs w:val="22"/>
                  <w:lang w:val="en-US"/>
                </w:rPr>
                <w:t>Form 5558</w:t>
              </w:r>
            </w:hyperlink>
            <w:r w:rsidRPr="00F72A74">
              <w:rPr>
                <w:sz w:val="22"/>
                <w:szCs w:val="22"/>
                <w:lang w:val="en-US"/>
              </w:rPr>
              <w:t xml:space="preserve"> by the due date. </w:t>
            </w:r>
          </w:p>
          <w:p w:rsidR="00AB2C9B" w:rsidP="00134583" w14:paraId="19E38130" w14:textId="7834DF99">
            <w:pPr>
              <w:pStyle w:val="Lists"/>
              <w:spacing w:before="60" w:after="60"/>
              <w:rPr>
                <w:sz w:val="22"/>
                <w:szCs w:val="22"/>
                <w:lang w:val="en-US"/>
              </w:rPr>
            </w:pPr>
            <w:r w:rsidRPr="00F72A74">
              <w:rPr>
                <w:sz w:val="22"/>
                <w:szCs w:val="22"/>
                <w:lang w:val="en-US"/>
              </w:rPr>
              <w:t>Small</w:t>
            </w:r>
            <w:r>
              <w:rPr>
                <w:sz w:val="22"/>
                <w:szCs w:val="22"/>
                <w:lang w:val="en-US"/>
              </w:rPr>
              <w:t xml:space="preserve"> </w:t>
            </w:r>
            <w:r w:rsidRPr="00F72A74">
              <w:rPr>
                <w:sz w:val="22"/>
                <w:szCs w:val="22"/>
                <w:lang w:val="en-US"/>
              </w:rPr>
              <w:t>welfare benefit plans (fewer than 100 participants</w:t>
            </w:r>
            <w:r w:rsidR="000B5E12">
              <w:rPr>
                <w:sz w:val="22"/>
                <w:szCs w:val="22"/>
                <w:lang w:val="en-US"/>
              </w:rPr>
              <w:t xml:space="preserve"> at the beginning of the plan year</w:t>
            </w:r>
            <w:r w:rsidRPr="00F72A74">
              <w:rPr>
                <w:sz w:val="22"/>
                <w:szCs w:val="22"/>
                <w:lang w:val="en-US"/>
              </w:rPr>
              <w:t>) that are</w:t>
            </w:r>
            <w:r>
              <w:rPr>
                <w:sz w:val="22"/>
                <w:szCs w:val="22"/>
                <w:lang w:val="en-US"/>
              </w:rPr>
              <w:t xml:space="preserve"> </w:t>
            </w:r>
            <w:r w:rsidRPr="00F72A74">
              <w:rPr>
                <w:sz w:val="22"/>
                <w:szCs w:val="22"/>
                <w:lang w:val="en-US"/>
              </w:rPr>
              <w:t>fully insured, unfunded or a combination of insured/unfunded</w:t>
            </w:r>
            <w:r>
              <w:rPr>
                <w:sz w:val="22"/>
                <w:szCs w:val="22"/>
                <w:lang w:val="en-US"/>
              </w:rPr>
              <w:t xml:space="preserve"> </w:t>
            </w:r>
            <w:r w:rsidRPr="00F72A74">
              <w:rPr>
                <w:sz w:val="22"/>
                <w:szCs w:val="22"/>
                <w:lang w:val="en-US"/>
              </w:rPr>
              <w:t xml:space="preserve">are generally exempt from the Form 5500 filing </w:t>
            </w:r>
            <w:r w:rsidRPr="00F72A74">
              <w:rPr>
                <w:sz w:val="22"/>
                <w:szCs w:val="22"/>
                <w:lang w:val="en-US"/>
              </w:rPr>
              <w:t>requirement.</w:t>
            </w:r>
            <w:r>
              <w:rPr>
                <w:sz w:val="22"/>
                <w:szCs w:val="22"/>
                <w:lang w:val="en-US"/>
              </w:rPr>
              <w:t xml:space="preserve"> “</w:t>
            </w:r>
            <w:r w:rsidRPr="00BD30AA">
              <w:rPr>
                <w:sz w:val="22"/>
                <w:szCs w:val="22"/>
                <w:lang w:val="en-US"/>
              </w:rPr>
              <w:t>Participant” includes only employees and former employees who are participating in the plan. Covered dependents are not counted as participants when determining whether a plan qualifies for the small plan exemption.</w:t>
            </w:r>
          </w:p>
          <w:p w:rsidR="00AB2C9B" w:rsidRPr="00F72A74" w:rsidP="00134583" w14:paraId="5A12F5D8" w14:textId="6132745A">
            <w:pPr>
              <w:pStyle w:val="Lists"/>
              <w:spacing w:before="60" w:after="60"/>
              <w:rPr>
                <w:sz w:val="22"/>
                <w:szCs w:val="22"/>
                <w:lang w:val="en-US"/>
              </w:rPr>
            </w:pPr>
            <w:r w:rsidRPr="00BD30AA">
              <w:rPr>
                <w:sz w:val="22"/>
                <w:szCs w:val="22"/>
                <w:lang w:val="en-US"/>
              </w:rPr>
              <w:t xml:space="preserve">Employers </w:t>
            </w:r>
            <w:r>
              <w:rPr>
                <w:sz w:val="22"/>
                <w:szCs w:val="22"/>
                <w:lang w:val="en-US"/>
              </w:rPr>
              <w:t xml:space="preserve">must </w:t>
            </w:r>
            <w:r w:rsidR="000C7FDB">
              <w:rPr>
                <w:sz w:val="22"/>
                <w:szCs w:val="22"/>
                <w:lang w:val="en-US"/>
              </w:rPr>
              <w:t xml:space="preserve">ascertain </w:t>
            </w:r>
            <w:r w:rsidRPr="00BD30AA">
              <w:rPr>
                <w:sz w:val="22"/>
                <w:szCs w:val="22"/>
                <w:lang w:val="en-US"/>
              </w:rPr>
              <w:t>how many separate ERISA plans they maintain to accurately count the number of participants in each plan.</w:t>
            </w:r>
            <w:r>
              <w:rPr>
                <w:sz w:val="22"/>
                <w:szCs w:val="22"/>
                <w:lang w:val="en-US"/>
              </w:rPr>
              <w:t xml:space="preserve"> Often, employers combine a variety of welfare benefits (e.g., medical, vision, dental and life) into a single plan, with one plan document. </w:t>
            </w:r>
            <w:r w:rsidR="00A62686">
              <w:rPr>
                <w:sz w:val="22"/>
                <w:szCs w:val="22"/>
                <w:lang w:val="en-US"/>
              </w:rPr>
              <w:t>In such cases, e</w:t>
            </w:r>
            <w:r>
              <w:rPr>
                <w:sz w:val="22"/>
                <w:szCs w:val="22"/>
                <w:lang w:val="en-US"/>
              </w:rPr>
              <w:t xml:space="preserve">mployers must count the number of participants in </w:t>
            </w:r>
            <w:r>
              <w:rPr>
                <w:sz w:val="22"/>
                <w:szCs w:val="22"/>
                <w:lang w:val="en-US"/>
              </w:rPr>
              <w:t>the overall plan</w:t>
            </w:r>
            <w:r>
              <w:rPr>
                <w:sz w:val="22"/>
                <w:szCs w:val="22"/>
                <w:lang w:val="en-US"/>
              </w:rPr>
              <w:t xml:space="preserve"> to determine if the Form 5500 filing exemption applies.</w:t>
            </w:r>
          </w:p>
        </w:tc>
        <w:tc>
          <w:tcPr>
            <w:tcW w:w="626" w:type="pct"/>
            <w:shd w:val="clear" w:color="auto" w:fill="FFFFFF" w:themeFill="background1"/>
            <w:vAlign w:val="center"/>
          </w:tcPr>
          <w:sdt>
            <w:sdtPr>
              <w:rPr>
                <w:sz w:val="28"/>
                <w:szCs w:val="28"/>
              </w:rPr>
              <w:id w:val="1571460481"/>
              <w14:checkbox>
                <w14:checked w14:val="0"/>
                <w14:checkedState w14:val="2612" w14:font="MS Gothic"/>
                <w14:uncheckedState w14:val="2610" w14:font="MS Gothic"/>
              </w14:checkbox>
            </w:sdtPr>
            <w:sdtContent>
              <w:p w:rsidR="00AB2C9B" w:rsidRPr="00DC0DC6" w:rsidP="00155F60" w14:paraId="35BB84CD" w14:textId="4E41D46E">
                <w:pPr>
                  <w:jc w:val="center"/>
                  <w:rPr>
                    <w:sz w:val="28"/>
                    <w:szCs w:val="28"/>
                  </w:rPr>
                </w:pPr>
                <w:r>
                  <w:rPr>
                    <w:rFonts w:ascii="MS Gothic" w:eastAsia="MS Gothic" w:hAnsi="MS Gothic" w:hint="eastAsia"/>
                    <w:sz w:val="28"/>
                    <w:szCs w:val="28"/>
                  </w:rPr>
                  <w:t>☐</w:t>
                </w:r>
              </w:p>
            </w:sdtContent>
          </w:sdt>
        </w:tc>
        <w:sdt>
          <w:sdtPr>
            <w:rPr>
              <w:sz w:val="28"/>
              <w:szCs w:val="28"/>
            </w:rPr>
            <w:id w:val="-641505265"/>
            <w14:checkbox>
              <w14:checked w14:val="0"/>
              <w14:checkedState w14:val="2612" w14:font="MS Gothic"/>
              <w14:uncheckedState w14:val="2610" w14:font="MS Gothic"/>
            </w14:checkbox>
          </w:sdtPr>
          <w:sdtContent>
            <w:tc>
              <w:tcPr>
                <w:tcW w:w="670" w:type="pct"/>
                <w:vAlign w:val="center"/>
              </w:tcPr>
              <w:p w:rsidR="00AB2C9B" w:rsidRPr="00DC0DC6" w:rsidP="00155F60" w14:paraId="75E27620" w14:textId="20F5E4D3">
                <w:pPr>
                  <w:jc w:val="center"/>
                  <w:rPr>
                    <w:sz w:val="28"/>
                    <w:szCs w:val="28"/>
                  </w:rPr>
                </w:pPr>
                <w:r w:rsidRPr="00DC0DC6">
                  <w:rPr>
                    <w:rFonts w:ascii="MS Gothic" w:eastAsia="MS Gothic" w:hAnsi="MS Gothic" w:hint="eastAsia"/>
                    <w:sz w:val="28"/>
                    <w:szCs w:val="28"/>
                  </w:rPr>
                  <w:t>☐</w:t>
                </w:r>
              </w:p>
            </w:tc>
          </w:sdtContent>
        </w:sdt>
      </w:tr>
      <w:tr w14:paraId="28455C27" w14:textId="77777777" w:rsidTr="00AB2C9B">
        <w:tblPrEx>
          <w:tblW w:w="5000" w:type="pct"/>
          <w:tblLayout w:type="fixed"/>
          <w:tblLook w:val="01E0"/>
        </w:tblPrEx>
        <w:trPr>
          <w:trHeight w:val="403"/>
        </w:trPr>
        <w:tc>
          <w:tcPr>
            <w:tcW w:w="3705" w:type="pct"/>
            <w:shd w:val="clear" w:color="auto" w:fill="FFFFFF" w:themeFill="background1"/>
            <w:vAlign w:val="center"/>
          </w:tcPr>
          <w:p w:rsidR="00AB2C9B" w:rsidP="00134583" w14:paraId="07ED0F8D" w14:textId="2FA00EE5">
            <w:pPr>
              <w:pStyle w:val="Lists"/>
              <w:spacing w:before="60" w:after="60"/>
              <w:rPr>
                <w:b/>
                <w:bCs/>
                <w:sz w:val="22"/>
                <w:szCs w:val="22"/>
                <w:lang w:val="en-US"/>
              </w:rPr>
            </w:pPr>
            <w:r>
              <w:rPr>
                <w:b/>
                <w:bCs/>
                <w:sz w:val="22"/>
                <w:szCs w:val="22"/>
                <w:lang w:val="en-US"/>
              </w:rPr>
              <w:t>Submit a gag clause attestation</w:t>
            </w:r>
            <w:r w:rsidR="00DC4C6F">
              <w:rPr>
                <w:b/>
                <w:bCs/>
                <w:sz w:val="22"/>
                <w:szCs w:val="22"/>
                <w:lang w:val="en-US"/>
              </w:rPr>
              <w:t>.</w:t>
            </w:r>
          </w:p>
          <w:p w:rsidR="00AB2C9B" w:rsidP="00134583" w14:paraId="72B3092A" w14:textId="799CAE89">
            <w:pPr>
              <w:pStyle w:val="Lists"/>
              <w:spacing w:before="60" w:after="60"/>
              <w:rPr>
                <w:sz w:val="22"/>
                <w:szCs w:val="22"/>
                <w:lang w:val="en-US"/>
              </w:rPr>
            </w:pPr>
            <w:r>
              <w:rPr>
                <w:sz w:val="22"/>
                <w:szCs w:val="22"/>
                <w:lang w:val="en-US"/>
              </w:rPr>
              <w:t xml:space="preserve">Employers must </w:t>
            </w:r>
            <w:r w:rsidRPr="008C59FA">
              <w:rPr>
                <w:sz w:val="22"/>
                <w:szCs w:val="22"/>
                <w:lang w:val="en-US"/>
              </w:rPr>
              <w:t xml:space="preserve">submit attestations of compliance with the </w:t>
            </w:r>
            <w:hyperlink r:id="rId21" w:history="1">
              <w:r w:rsidRPr="00495D8F">
                <w:rPr>
                  <w:rStyle w:val="Hyperlink"/>
                  <w:sz w:val="22"/>
                  <w:szCs w:val="22"/>
                  <w:lang w:val="en-US"/>
                </w:rPr>
                <w:t>prohibition on gag clauses</w:t>
              </w:r>
            </w:hyperlink>
            <w:r w:rsidRPr="008C59FA">
              <w:rPr>
                <w:sz w:val="22"/>
                <w:szCs w:val="22"/>
                <w:lang w:val="en-US"/>
              </w:rPr>
              <w:t xml:space="preserve"> </w:t>
            </w:r>
            <w:r w:rsidR="00D56902">
              <w:rPr>
                <w:sz w:val="22"/>
                <w:szCs w:val="22"/>
                <w:lang w:val="en-US"/>
              </w:rPr>
              <w:t xml:space="preserve">to CMS </w:t>
            </w:r>
            <w:r w:rsidRPr="008C59FA">
              <w:rPr>
                <w:sz w:val="22"/>
                <w:szCs w:val="22"/>
                <w:lang w:val="en-US"/>
              </w:rPr>
              <w:t xml:space="preserve">by </w:t>
            </w:r>
            <w:r w:rsidRPr="008C59FA">
              <w:rPr>
                <w:b/>
                <w:bCs/>
                <w:sz w:val="22"/>
                <w:szCs w:val="22"/>
                <w:lang w:val="en-US"/>
              </w:rPr>
              <w:t>Dec. 31</w:t>
            </w:r>
            <w:r w:rsidRPr="008C59FA">
              <w:rPr>
                <w:sz w:val="22"/>
                <w:szCs w:val="22"/>
                <w:lang w:val="en-US"/>
              </w:rPr>
              <w:t xml:space="preserve"> each year. </w:t>
            </w:r>
            <w:r>
              <w:rPr>
                <w:sz w:val="22"/>
                <w:szCs w:val="22"/>
                <w:lang w:val="en-US"/>
              </w:rPr>
              <w:t xml:space="preserve">A federal transparency law prohibits health plans from </w:t>
            </w:r>
            <w:r>
              <w:rPr>
                <w:sz w:val="22"/>
                <w:szCs w:val="22"/>
                <w:lang w:val="en-US"/>
              </w:rPr>
              <w:t>entering into</w:t>
            </w:r>
            <w:r>
              <w:rPr>
                <w:sz w:val="22"/>
                <w:szCs w:val="22"/>
                <w:lang w:val="en-US"/>
              </w:rPr>
              <w:t xml:space="preserve"> contracts with health care providers, TPAs or other service providers that include gag clauses (i.e., clauses </w:t>
            </w:r>
            <w:r w:rsidR="0013356A">
              <w:rPr>
                <w:sz w:val="22"/>
                <w:szCs w:val="22"/>
                <w:lang w:val="en-US"/>
              </w:rPr>
              <w:t>that restrict the plan from providing, accessing or sharing certain information about provider prices</w:t>
            </w:r>
            <w:r>
              <w:rPr>
                <w:sz w:val="22"/>
                <w:szCs w:val="22"/>
                <w:lang w:val="en-US"/>
              </w:rPr>
              <w:t xml:space="preserve"> and quality and de-identified claims). </w:t>
            </w:r>
          </w:p>
          <w:p w:rsidR="00AB2C9B" w:rsidP="00134583" w14:paraId="6C6B8B96" w14:textId="7E8C4C38">
            <w:pPr>
              <w:pStyle w:val="Lists"/>
              <w:spacing w:before="60" w:after="60"/>
              <w:rPr>
                <w:b/>
                <w:bCs/>
                <w:sz w:val="22"/>
                <w:szCs w:val="22"/>
                <w:lang w:val="en-US"/>
              </w:rPr>
            </w:pPr>
            <w:r w:rsidRPr="008C59FA">
              <w:rPr>
                <w:sz w:val="22"/>
                <w:szCs w:val="22"/>
                <w:lang w:val="en-US"/>
              </w:rPr>
              <w:t>If the</w:t>
            </w:r>
            <w:r>
              <w:rPr>
                <w:sz w:val="22"/>
                <w:szCs w:val="22"/>
                <w:lang w:val="en-US"/>
              </w:rPr>
              <w:t xml:space="preserve"> </w:t>
            </w:r>
            <w:r w:rsidRPr="008C59FA">
              <w:rPr>
                <w:sz w:val="22"/>
                <w:szCs w:val="22"/>
                <w:lang w:val="en-US"/>
              </w:rPr>
              <w:t xml:space="preserve">issuer </w:t>
            </w:r>
            <w:r w:rsidR="00461E91">
              <w:rPr>
                <w:sz w:val="22"/>
                <w:szCs w:val="22"/>
                <w:lang w:val="en-US"/>
              </w:rPr>
              <w:t>of</w:t>
            </w:r>
            <w:r w:rsidRPr="008C59FA" w:rsidR="00461E91">
              <w:rPr>
                <w:sz w:val="22"/>
                <w:szCs w:val="22"/>
                <w:lang w:val="en-US"/>
              </w:rPr>
              <w:t xml:space="preserve"> </w:t>
            </w:r>
            <w:r w:rsidRPr="008C59FA">
              <w:rPr>
                <w:sz w:val="22"/>
                <w:szCs w:val="22"/>
                <w:lang w:val="en-US"/>
              </w:rPr>
              <w:t>a fully insured health plan provides the attestation,</w:t>
            </w:r>
            <w:r>
              <w:rPr>
                <w:sz w:val="22"/>
                <w:szCs w:val="22"/>
                <w:lang w:val="en-US"/>
              </w:rPr>
              <w:t xml:space="preserve"> </w:t>
            </w:r>
            <w:r w:rsidRPr="008C59FA">
              <w:rPr>
                <w:sz w:val="22"/>
                <w:szCs w:val="22"/>
                <w:lang w:val="en-US"/>
              </w:rPr>
              <w:t>the health plan does not need to provide an attestation.</w:t>
            </w:r>
            <w:r>
              <w:rPr>
                <w:sz w:val="22"/>
                <w:szCs w:val="22"/>
                <w:lang w:val="en-US"/>
              </w:rPr>
              <w:t xml:space="preserve"> </w:t>
            </w:r>
            <w:r w:rsidRPr="008C59FA">
              <w:rPr>
                <w:sz w:val="22"/>
                <w:szCs w:val="22"/>
                <w:lang w:val="en-US"/>
              </w:rPr>
              <w:t xml:space="preserve">Employers with self-insured health plans can enter into written agreements with their </w:t>
            </w:r>
            <w:r w:rsidR="00B76711">
              <w:rPr>
                <w:sz w:val="22"/>
                <w:szCs w:val="22"/>
                <w:lang w:val="en-US"/>
              </w:rPr>
              <w:t>service providers</w:t>
            </w:r>
            <w:r w:rsidRPr="008C59FA">
              <w:rPr>
                <w:sz w:val="22"/>
                <w:szCs w:val="22"/>
                <w:lang w:val="en-US"/>
              </w:rPr>
              <w:t xml:space="preserve"> to provide the attestation, but</w:t>
            </w:r>
            <w:r>
              <w:rPr>
                <w:sz w:val="22"/>
                <w:szCs w:val="22"/>
                <w:lang w:val="en-US"/>
              </w:rPr>
              <w:t xml:space="preserve"> </w:t>
            </w:r>
            <w:r w:rsidRPr="008C59FA">
              <w:rPr>
                <w:sz w:val="22"/>
                <w:szCs w:val="22"/>
                <w:lang w:val="en-US"/>
              </w:rPr>
              <w:t>the legal responsibility remains with the health plan.</w:t>
            </w:r>
          </w:p>
        </w:tc>
        <w:tc>
          <w:tcPr>
            <w:tcW w:w="626" w:type="pct"/>
            <w:shd w:val="clear" w:color="auto" w:fill="FFFFFF" w:themeFill="background1"/>
            <w:vAlign w:val="center"/>
          </w:tcPr>
          <w:sdt>
            <w:sdtPr>
              <w:rPr>
                <w:sz w:val="28"/>
                <w:szCs w:val="28"/>
              </w:rPr>
              <w:id w:val="-1769996154"/>
              <w14:checkbox>
                <w14:checked w14:val="0"/>
                <w14:checkedState w14:val="2612" w14:font="MS Gothic"/>
                <w14:uncheckedState w14:val="2610" w14:font="MS Gothic"/>
              </w14:checkbox>
            </w:sdtPr>
            <w:sdtContent>
              <w:p w:rsidR="00AB2C9B" w:rsidRPr="00DC0DC6" w:rsidP="00155F60" w14:paraId="72AC7C12" w14:textId="3B650470">
                <w:pPr>
                  <w:jc w:val="center"/>
                  <w:rPr>
                    <w:sz w:val="28"/>
                    <w:szCs w:val="28"/>
                  </w:rPr>
                </w:pPr>
                <w:r>
                  <w:rPr>
                    <w:rFonts w:ascii="MS Gothic" w:eastAsia="MS Gothic" w:hAnsi="MS Gothic" w:hint="eastAsia"/>
                    <w:sz w:val="28"/>
                    <w:szCs w:val="28"/>
                  </w:rPr>
                  <w:t>☐</w:t>
                </w:r>
              </w:p>
            </w:sdtContent>
          </w:sdt>
        </w:tc>
        <w:sdt>
          <w:sdtPr>
            <w:rPr>
              <w:sz w:val="28"/>
              <w:szCs w:val="28"/>
            </w:rPr>
            <w:id w:val="1293938941"/>
            <w14:checkbox>
              <w14:checked w14:val="0"/>
              <w14:checkedState w14:val="2612" w14:font="MS Gothic"/>
              <w14:uncheckedState w14:val="2610" w14:font="MS Gothic"/>
            </w14:checkbox>
          </w:sdtPr>
          <w:sdtContent>
            <w:tc>
              <w:tcPr>
                <w:tcW w:w="670" w:type="pct"/>
                <w:vAlign w:val="center"/>
              </w:tcPr>
              <w:p w:rsidR="00AB2C9B" w:rsidRPr="00DC0DC6" w:rsidP="00155F60" w14:paraId="5E20B825" w14:textId="00FAC3E3">
                <w:pPr>
                  <w:jc w:val="center"/>
                  <w:rPr>
                    <w:sz w:val="28"/>
                    <w:szCs w:val="28"/>
                  </w:rPr>
                </w:pPr>
                <w:r w:rsidRPr="00DC0DC6">
                  <w:rPr>
                    <w:rFonts w:ascii="MS Gothic" w:eastAsia="MS Gothic" w:hAnsi="MS Gothic" w:hint="eastAsia"/>
                    <w:sz w:val="28"/>
                    <w:szCs w:val="28"/>
                  </w:rPr>
                  <w:t>☐</w:t>
                </w:r>
              </w:p>
            </w:tc>
          </w:sdtContent>
        </w:sdt>
      </w:tr>
    </w:tbl>
    <w:p w:rsidR="00E0650A" w:rsidRPr="00CC4DB4" w:rsidP="00E0650A" w14:paraId="681140AF" w14:textId="7024CE5C">
      <w:pPr>
        <w:pStyle w:val="Lists"/>
        <w:rPr>
          <w:b/>
          <w:bCs/>
          <w:color w:val="5083C9"/>
          <w:sz w:val="32"/>
          <w:szCs w:val="32"/>
          <w:lang w:val="en-US"/>
        </w:rPr>
      </w:pPr>
      <w:r w:rsidRPr="00CC4DB4">
        <w:rPr>
          <w:b/>
          <w:bCs/>
          <w:color w:val="5083C9"/>
          <w:sz w:val="32"/>
          <w:szCs w:val="32"/>
          <w:lang w:val="en-US"/>
        </w:rPr>
        <w:t>COBRA</w:t>
      </w: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5935"/>
        <w:gridCol w:w="1171"/>
        <w:gridCol w:w="989"/>
        <w:gridCol w:w="1255"/>
      </w:tblGrid>
      <w:tr w14:paraId="419655B8" w14:textId="77777777" w:rsidTr="001D2884">
        <w:tblPrEx>
          <w:tblW w:w="5000" w:type="pct"/>
          <w:tblLook w:val="01E0"/>
        </w:tblPrEx>
        <w:trPr>
          <w:trHeight w:val="211"/>
        </w:trPr>
        <w:tc>
          <w:tcPr>
            <w:tcW w:w="3174"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1D2884" w:rsidRPr="00823DD7" w:rsidP="002567DC" w14:paraId="7EB8FB0C" w14:textId="0C39EC2D">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Continuation Coverage</w:t>
            </w:r>
          </w:p>
        </w:tc>
        <w:tc>
          <w:tcPr>
            <w:tcW w:w="626"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1D2884" w:rsidRPr="00823DD7" w:rsidP="002567DC" w14:paraId="198405E8" w14:textId="2EAA8DD2">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Yes</w:t>
            </w:r>
          </w:p>
        </w:tc>
        <w:tc>
          <w:tcPr>
            <w:tcW w:w="529"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1D2884" w:rsidRPr="00823DD7" w:rsidP="001D2884" w14:paraId="25F18D37" w14:textId="77777777">
            <w:pPr>
              <w:spacing w:before="60" w:after="60" w:line="280" w:lineRule="atLeast"/>
              <w:jc w:val="center"/>
              <w:rPr>
                <w:rFonts w:asciiTheme="majorHAnsi" w:hAnsiTheme="majorHAnsi" w:cstheme="majorHAnsi"/>
                <w:b/>
                <w:bCs/>
                <w:color w:val="FFFFFF" w:themeColor="background1"/>
              </w:rPr>
            </w:pPr>
            <w:r w:rsidRPr="00823DD7">
              <w:rPr>
                <w:rFonts w:asciiTheme="majorHAnsi" w:hAnsiTheme="majorHAnsi" w:cstheme="majorHAnsi"/>
                <w:b/>
                <w:bCs/>
                <w:color w:val="FFFFFF" w:themeColor="background1"/>
              </w:rPr>
              <w:t>No</w:t>
            </w:r>
          </w:p>
        </w:tc>
        <w:tc>
          <w:tcPr>
            <w:tcW w:w="671"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tcPr>
          <w:p w:rsidR="001D2884" w:rsidRPr="00823DD7" w:rsidP="002567DC" w14:paraId="78E34336" w14:textId="19975438">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Not Applicable</w:t>
            </w:r>
          </w:p>
        </w:tc>
      </w:tr>
      <w:tr w14:paraId="28811E04" w14:textId="77777777" w:rsidTr="001D2884">
        <w:tblPrEx>
          <w:tblW w:w="5000" w:type="pct"/>
          <w:tblLook w:val="01E0"/>
        </w:tblPrEx>
        <w:trPr>
          <w:trHeight w:val="403"/>
        </w:trPr>
        <w:tc>
          <w:tcPr>
            <w:tcW w:w="317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1D2884" w:rsidRPr="00415716" w:rsidP="00134583" w14:paraId="5086AAF8" w14:textId="17049585">
            <w:pPr>
              <w:pStyle w:val="Lists"/>
              <w:spacing w:before="60" w:after="60"/>
              <w:rPr>
                <w:b/>
                <w:bCs/>
                <w:sz w:val="22"/>
                <w:szCs w:val="22"/>
                <w:lang w:val="en-US"/>
              </w:rPr>
            </w:pPr>
            <w:r>
              <w:rPr>
                <w:b/>
                <w:bCs/>
                <w:sz w:val="22"/>
                <w:szCs w:val="22"/>
                <w:lang w:val="en-US"/>
              </w:rPr>
              <w:t xml:space="preserve">Do you offer </w:t>
            </w:r>
            <w:r w:rsidR="00492AE9">
              <w:rPr>
                <w:b/>
                <w:bCs/>
                <w:sz w:val="22"/>
                <w:szCs w:val="22"/>
                <w:lang w:val="en-US"/>
              </w:rPr>
              <w:t>Consolidated Omnibus Budget Reconciliation Act (</w:t>
            </w:r>
            <w:r>
              <w:rPr>
                <w:b/>
                <w:bCs/>
                <w:sz w:val="22"/>
                <w:szCs w:val="22"/>
                <w:lang w:val="en-US"/>
              </w:rPr>
              <w:t>COBRA</w:t>
            </w:r>
            <w:r w:rsidR="00492AE9">
              <w:rPr>
                <w:b/>
                <w:bCs/>
                <w:sz w:val="22"/>
                <w:szCs w:val="22"/>
                <w:lang w:val="en-US"/>
              </w:rPr>
              <w:t>)</w:t>
            </w:r>
            <w:r>
              <w:rPr>
                <w:b/>
                <w:bCs/>
                <w:sz w:val="22"/>
                <w:szCs w:val="22"/>
                <w:lang w:val="en-US"/>
              </w:rPr>
              <w:t xml:space="preserve"> continuation coverage to eligible employees and dependents who would otherwise lose coverage due to a qualifying event?</w:t>
            </w:r>
          </w:p>
          <w:p w:rsidR="001D2884" w:rsidRPr="00E15731" w:rsidP="00134583" w14:paraId="02EA81C7" w14:textId="7B13570B">
            <w:pPr>
              <w:pStyle w:val="Lists"/>
              <w:spacing w:before="60" w:after="60"/>
              <w:rPr>
                <w:sz w:val="22"/>
                <w:szCs w:val="22"/>
              </w:rPr>
            </w:pPr>
            <w:r w:rsidRPr="000149CF">
              <w:rPr>
                <w:sz w:val="22"/>
                <w:szCs w:val="22"/>
                <w:lang w:val="en-US"/>
              </w:rPr>
              <w:t xml:space="preserve">COBRA generally applies to health plans maintained by private-sector employers that have </w:t>
            </w:r>
            <w:r w:rsidRPr="00415716">
              <w:rPr>
                <w:b/>
                <w:bCs/>
                <w:sz w:val="22"/>
                <w:szCs w:val="22"/>
                <w:lang w:val="en-US"/>
              </w:rPr>
              <w:t>20 or more employees</w:t>
            </w:r>
            <w:r>
              <w:rPr>
                <w:b/>
                <w:bCs/>
                <w:sz w:val="22"/>
                <w:szCs w:val="22"/>
                <w:lang w:val="en-US"/>
              </w:rPr>
              <w:t xml:space="preserve"> </w:t>
            </w:r>
            <w:r w:rsidRPr="001D468B">
              <w:rPr>
                <w:sz w:val="22"/>
                <w:szCs w:val="22"/>
                <w:lang w:val="en-US"/>
              </w:rPr>
              <w:t>on more than 50</w:t>
            </w:r>
            <w:r w:rsidR="00603F57">
              <w:rPr>
                <w:sz w:val="22"/>
                <w:szCs w:val="22"/>
                <w:lang w:val="en-US"/>
              </w:rPr>
              <w:t xml:space="preserve">% </w:t>
            </w:r>
            <w:r w:rsidRPr="001D468B">
              <w:rPr>
                <w:sz w:val="22"/>
                <w:szCs w:val="22"/>
                <w:lang w:val="en-US"/>
              </w:rPr>
              <w:t>of typical business days in the previous calendar year.</w:t>
            </w:r>
            <w:r>
              <w:rPr>
                <w:b/>
                <w:bCs/>
                <w:sz w:val="22"/>
                <w:szCs w:val="22"/>
                <w:lang w:val="en-US"/>
              </w:rPr>
              <w:t xml:space="preserve"> </w:t>
            </w:r>
            <w:r w:rsidRPr="001D468B">
              <w:rPr>
                <w:sz w:val="22"/>
                <w:szCs w:val="22"/>
              </w:rPr>
              <w:t>COBRA does not apply to health plans maintained by employers with fewer than 20 employees, although state continuation coverage requirements may apply to these plans.</w:t>
            </w:r>
          </w:p>
        </w:tc>
        <w:sdt>
          <w:sdtPr>
            <w:rPr>
              <w:sz w:val="28"/>
              <w:szCs w:val="28"/>
            </w:rPr>
            <w:id w:val="-61568003"/>
            <w14:checkbox>
              <w14:checked w14:val="0"/>
              <w14:checkedState w14:val="2612" w14:font="MS Gothic"/>
              <w14:uncheckedState w14:val="2610" w14:font="MS Gothic"/>
            </w14:checkbox>
          </w:sdtPr>
          <w:sdtContent>
            <w:tc>
              <w:tcPr>
                <w:tcW w:w="626"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1D2884" w:rsidRPr="007D7327" w:rsidP="00134583" w14:paraId="79817187" w14:textId="141EC650">
                <w:pPr>
                  <w:spacing w:before="60" w:after="60"/>
                  <w:jc w:val="center"/>
                </w:pPr>
                <w:r>
                  <w:rPr>
                    <w:rFonts w:ascii="MS Gothic" w:eastAsia="MS Gothic" w:hAnsi="MS Gothic" w:hint="eastAsia"/>
                    <w:sz w:val="28"/>
                    <w:szCs w:val="28"/>
                  </w:rPr>
                  <w:t>☐</w:t>
                </w:r>
              </w:p>
            </w:tc>
          </w:sdtContent>
        </w:sdt>
        <w:sdt>
          <w:sdtPr>
            <w:rPr>
              <w:sz w:val="28"/>
              <w:szCs w:val="28"/>
            </w:rPr>
            <w:id w:val="-725224522"/>
            <w14:checkbox>
              <w14:checked w14:val="0"/>
              <w14:checkedState w14:val="2612" w14:font="MS Gothic"/>
              <w14:uncheckedState w14:val="2610" w14:font="MS Gothic"/>
            </w14:checkbox>
          </w:sdtPr>
          <w:sdtContent>
            <w:tc>
              <w:tcPr>
                <w:tcW w:w="529"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1D2884" w:rsidRPr="007D7327" w:rsidP="00134583" w14:paraId="0B1CDE09" w14:textId="5B0F8B9F">
                <w:pPr>
                  <w:spacing w:before="60" w:after="60"/>
                  <w:jc w:val="center"/>
                </w:pPr>
                <w:r>
                  <w:rPr>
                    <w:rFonts w:ascii="MS Gothic" w:eastAsia="MS Gothic" w:hAnsi="MS Gothic" w:hint="eastAsia"/>
                    <w:sz w:val="28"/>
                    <w:szCs w:val="28"/>
                  </w:rPr>
                  <w:t>☐</w:t>
                </w:r>
              </w:p>
            </w:tc>
          </w:sdtContent>
        </w:sdt>
        <w:sdt>
          <w:sdtPr>
            <w:rPr>
              <w:sz w:val="28"/>
              <w:szCs w:val="28"/>
            </w:rPr>
            <w:id w:val="1240288494"/>
            <w14:checkbox>
              <w14:checked w14:val="0"/>
              <w14:checkedState w14:val="2612" w14:font="MS Gothic"/>
              <w14:uncheckedState w14:val="2610" w14:font="MS Gothic"/>
            </w14:checkbox>
          </w:sdtPr>
          <w:sdtContent>
            <w:tc>
              <w:tcPr>
                <w:tcW w:w="671"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1D2884" w:rsidRPr="007D7327" w:rsidP="00134583" w14:paraId="75ED37C3" w14:textId="1BB4EB0B">
                <w:pPr>
                  <w:spacing w:before="60" w:after="60"/>
                  <w:jc w:val="center"/>
                </w:pPr>
                <w:r>
                  <w:rPr>
                    <w:rFonts w:ascii="MS Gothic" w:eastAsia="MS Gothic" w:hAnsi="MS Gothic" w:hint="eastAsia"/>
                    <w:sz w:val="28"/>
                    <w:szCs w:val="28"/>
                  </w:rPr>
                  <w:t>☐</w:t>
                </w:r>
              </w:p>
            </w:tc>
          </w:sdtContent>
        </w:sdt>
      </w:tr>
    </w:tbl>
    <w:p w:rsidR="0094077D" w:rsidP="00134583" w14:paraId="1EAB0C56" w14:textId="77777777">
      <w:pPr>
        <w:pStyle w:val="Lists"/>
        <w:spacing w:before="60" w:after="60"/>
        <w:rPr>
          <w:b/>
          <w:bCs/>
          <w:color w:val="5083C9"/>
          <w:sz w:val="28"/>
          <w:szCs w:val="28"/>
          <w:lang w:val="en-US"/>
        </w:rPr>
      </w:pPr>
    </w:p>
    <w:tbl>
      <w:tblPr>
        <w:tblW w:w="5003" w:type="pct"/>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5935"/>
        <w:gridCol w:w="3415"/>
      </w:tblGrid>
      <w:tr w14:paraId="3BEBAE91" w14:textId="77777777" w:rsidTr="0094077D">
        <w:tblPrEx>
          <w:tblW w:w="5003" w:type="pct"/>
          <w:tblInd w:w="-3" w:type="dxa"/>
          <w:tblLook w:val="01E0"/>
        </w:tblPrEx>
        <w:trPr>
          <w:trHeight w:val="403"/>
          <w:tblHeader/>
        </w:trPr>
        <w:tc>
          <w:tcPr>
            <w:tcW w:w="3174" w:type="pct"/>
            <w:tcBorders>
              <w:top w:val="single" w:sz="6" w:space="0" w:color="0070C0"/>
              <w:left w:val="single" w:sz="6" w:space="0" w:color="0070C0"/>
              <w:bottom w:val="single" w:sz="6" w:space="0" w:color="0070C0"/>
              <w:right w:val="single" w:sz="6" w:space="0" w:color="0070C0"/>
            </w:tcBorders>
            <w:shd w:val="clear" w:color="auto" w:fill="5083C9"/>
            <w:vAlign w:val="center"/>
          </w:tcPr>
          <w:p w:rsidR="0094077D" w:rsidRPr="00415716" w:rsidP="002C6FC2" w14:paraId="2EB13B54" w14:textId="77777777">
            <w:pPr>
              <w:pStyle w:val="Lists"/>
              <w:spacing w:before="60" w:after="60"/>
              <w:jc w:val="center"/>
              <w:rPr>
                <w:b/>
                <w:bCs/>
                <w:color w:val="FFFFFF" w:themeColor="background1"/>
                <w:sz w:val="24"/>
                <w:szCs w:val="24"/>
                <w:lang w:val="en-US"/>
              </w:rPr>
            </w:pPr>
            <w:r w:rsidRPr="00415716">
              <w:rPr>
                <w:b/>
                <w:bCs/>
                <w:color w:val="FFFFFF" w:themeColor="background1"/>
                <w:sz w:val="24"/>
                <w:szCs w:val="24"/>
                <w:lang w:val="en-US"/>
              </w:rPr>
              <w:t>COBRA Notices</w:t>
            </w:r>
          </w:p>
        </w:tc>
        <w:tc>
          <w:tcPr>
            <w:tcW w:w="1826" w:type="pct"/>
            <w:tcBorders>
              <w:top w:val="single" w:sz="6" w:space="0" w:color="0070C0"/>
              <w:left w:val="single" w:sz="6" w:space="0" w:color="0070C0"/>
              <w:bottom w:val="single" w:sz="6" w:space="0" w:color="0070C0"/>
              <w:right w:val="single" w:sz="6" w:space="0" w:color="0070C0"/>
            </w:tcBorders>
            <w:shd w:val="clear" w:color="auto" w:fill="5083C9"/>
            <w:vAlign w:val="center"/>
          </w:tcPr>
          <w:p w:rsidR="0094077D" w:rsidRPr="00415716" w:rsidP="002C6FC2" w14:paraId="603DBF95" w14:textId="0E4BE743">
            <w:pPr>
              <w:pStyle w:val="Lists"/>
              <w:jc w:val="center"/>
              <w:rPr>
                <w:b/>
                <w:bCs/>
                <w:color w:val="FFFFFF" w:themeColor="background1"/>
                <w:sz w:val="24"/>
                <w:szCs w:val="24"/>
              </w:rPr>
            </w:pPr>
            <w:r w:rsidRPr="00415716">
              <w:rPr>
                <w:b/>
                <w:bCs/>
                <w:color w:val="FFFFFF" w:themeColor="background1"/>
                <w:sz w:val="24"/>
                <w:szCs w:val="24"/>
              </w:rPr>
              <w:t>Complete</w:t>
            </w:r>
            <w:r w:rsidR="00ED00EC">
              <w:rPr>
                <w:b/>
                <w:bCs/>
                <w:color w:val="FFFFFF" w:themeColor="background1"/>
                <w:sz w:val="24"/>
                <w:szCs w:val="24"/>
              </w:rPr>
              <w:t xml:space="preserve"> (or N/A)</w:t>
            </w:r>
          </w:p>
        </w:tc>
      </w:tr>
      <w:tr w14:paraId="737DDA67" w14:textId="77777777" w:rsidTr="0094077D">
        <w:tblPrEx>
          <w:tblW w:w="5003" w:type="pct"/>
          <w:tblInd w:w="-3" w:type="dxa"/>
          <w:tblLook w:val="01E0"/>
        </w:tblPrEx>
        <w:trPr>
          <w:trHeight w:val="403"/>
        </w:trPr>
        <w:tc>
          <w:tcPr>
            <w:tcW w:w="5000" w:type="pct"/>
            <w:gridSpan w:val="2"/>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CC4DB4" w:rsidP="00134583" w14:paraId="5B94B8AE" w14:textId="553B331A">
            <w:pPr>
              <w:pStyle w:val="Lists"/>
              <w:spacing w:before="60" w:after="60"/>
              <w:rPr>
                <w:sz w:val="22"/>
                <w:szCs w:val="22"/>
              </w:rPr>
            </w:pPr>
            <w:r w:rsidRPr="00CC4DB4">
              <w:rPr>
                <w:sz w:val="22"/>
                <w:szCs w:val="22"/>
              </w:rPr>
              <w:t>Confirm you</w:t>
            </w:r>
            <w:r>
              <w:rPr>
                <w:sz w:val="22"/>
                <w:szCs w:val="22"/>
              </w:rPr>
              <w:t xml:space="preserve">r </w:t>
            </w:r>
            <w:r w:rsidR="009819AA">
              <w:rPr>
                <w:sz w:val="22"/>
                <w:szCs w:val="22"/>
              </w:rPr>
              <w:t>health plan</w:t>
            </w:r>
            <w:r>
              <w:rPr>
                <w:sz w:val="22"/>
                <w:szCs w:val="22"/>
              </w:rPr>
              <w:t xml:space="preserve"> has procedures for administering COBRA coverage, including for providing the </w:t>
            </w:r>
            <w:r w:rsidRPr="00CC4DB4">
              <w:rPr>
                <w:sz w:val="22"/>
                <w:szCs w:val="22"/>
              </w:rPr>
              <w:t>following COBRA notices</w:t>
            </w:r>
            <w:r>
              <w:rPr>
                <w:sz w:val="22"/>
                <w:szCs w:val="22"/>
              </w:rPr>
              <w:t xml:space="preserve"> on a timely basis:  </w:t>
            </w:r>
          </w:p>
        </w:tc>
      </w:tr>
      <w:tr w14:paraId="0B436684" w14:textId="77777777" w:rsidTr="0094077D">
        <w:tblPrEx>
          <w:tblW w:w="5003" w:type="pct"/>
          <w:tblInd w:w="-3" w:type="dxa"/>
          <w:tblLook w:val="01E0"/>
        </w:tblPrEx>
        <w:trPr>
          <w:trHeight w:val="403"/>
        </w:trPr>
        <w:tc>
          <w:tcPr>
            <w:tcW w:w="317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149CF" w:rsidP="00134583" w14:paraId="3E309089" w14:textId="748A783A">
            <w:pPr>
              <w:pStyle w:val="Lists"/>
              <w:spacing w:before="60" w:after="60"/>
              <w:rPr>
                <w:lang w:val="en-US"/>
              </w:rPr>
            </w:pPr>
            <w:r w:rsidRPr="000149CF">
              <w:rPr>
                <w:b/>
                <w:bCs/>
                <w:sz w:val="22"/>
                <w:szCs w:val="22"/>
                <w:lang w:val="en-US"/>
              </w:rPr>
              <w:t>COBRA General Notice:</w:t>
            </w:r>
            <w:r w:rsidRPr="000149CF">
              <w:rPr>
                <w:sz w:val="22"/>
                <w:szCs w:val="22"/>
                <w:lang w:val="en-US"/>
              </w:rPr>
              <w:t xml:space="preserve"> </w:t>
            </w:r>
            <w:r w:rsidR="005A08E4">
              <w:rPr>
                <w:sz w:val="22"/>
                <w:szCs w:val="22"/>
                <w:lang w:val="en-US"/>
              </w:rPr>
              <w:t xml:space="preserve">This </w:t>
            </w:r>
            <w:r w:rsidR="00B76711">
              <w:rPr>
                <w:sz w:val="22"/>
                <w:szCs w:val="22"/>
                <w:lang w:val="en-US"/>
              </w:rPr>
              <w:t xml:space="preserve">notice </w:t>
            </w:r>
            <w:r w:rsidR="005A08E4">
              <w:rPr>
                <w:sz w:val="22"/>
                <w:szCs w:val="22"/>
              </w:rPr>
              <w:t>m</w:t>
            </w:r>
            <w:r w:rsidRPr="000149CF">
              <w:rPr>
                <w:sz w:val="22"/>
                <w:szCs w:val="22"/>
              </w:rPr>
              <w:t>ust be provided to covered</w:t>
            </w:r>
            <w:r>
              <w:rPr>
                <w:sz w:val="22"/>
                <w:szCs w:val="22"/>
              </w:rPr>
              <w:t xml:space="preserve"> </w:t>
            </w:r>
            <w:r w:rsidRPr="000149CF">
              <w:rPr>
                <w:sz w:val="22"/>
                <w:szCs w:val="22"/>
              </w:rPr>
              <w:t>employees within 90 days after their health plan coverage</w:t>
            </w:r>
            <w:r>
              <w:rPr>
                <w:sz w:val="22"/>
                <w:szCs w:val="22"/>
              </w:rPr>
              <w:t xml:space="preserve"> </w:t>
            </w:r>
            <w:r w:rsidRPr="000149CF">
              <w:rPr>
                <w:sz w:val="22"/>
                <w:szCs w:val="22"/>
              </w:rPr>
              <w:t xml:space="preserve">begins. The DOL has a </w:t>
            </w:r>
            <w:hyperlink r:id="rId22" w:history="1">
              <w:r w:rsidRPr="000149CF">
                <w:rPr>
                  <w:rStyle w:val="Hyperlink"/>
                  <w:sz w:val="22"/>
                  <w:szCs w:val="22"/>
                </w:rPr>
                <w:t>COBRA Model General Notice</w:t>
              </w:r>
            </w:hyperlink>
            <w:r>
              <w:rPr>
                <w:sz w:val="22"/>
                <w:szCs w:val="22"/>
              </w:rPr>
              <w:t xml:space="preserve"> </w:t>
            </w:r>
            <w:r w:rsidRPr="000149CF">
              <w:rPr>
                <w:sz w:val="22"/>
                <w:szCs w:val="22"/>
              </w:rPr>
              <w:t>for employers to use</w:t>
            </w:r>
            <w:r>
              <w:rPr>
                <w:sz w:val="22"/>
                <w:szCs w:val="22"/>
              </w:rPr>
              <w:t xml:space="preserve">. </w:t>
            </w:r>
          </w:p>
        </w:tc>
        <w:sdt>
          <w:sdtPr>
            <w:rPr>
              <w:sz w:val="28"/>
              <w:szCs w:val="28"/>
            </w:rPr>
            <w:id w:val="1612014884"/>
            <w14:checkbox>
              <w14:checked w14:val="0"/>
              <w14:checkedState w14:val="2612" w14:font="MS Gothic"/>
              <w14:uncheckedState w14:val="2610" w14:font="MS Gothic"/>
            </w14:checkbox>
          </w:sdtPr>
          <w:sdtContent>
            <w:tc>
              <w:tcPr>
                <w:tcW w:w="1826"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P="002C6FC2" w14:paraId="6825BFFE" w14:textId="77777777">
                <w:pPr>
                  <w:spacing w:before="60" w:after="60"/>
                  <w:jc w:val="center"/>
                </w:pPr>
                <w:r w:rsidRPr="00DC0DC6">
                  <w:rPr>
                    <w:rFonts w:ascii="MS Gothic" w:eastAsia="MS Gothic" w:hAnsi="MS Gothic" w:hint="eastAsia"/>
                    <w:sz w:val="28"/>
                    <w:szCs w:val="28"/>
                  </w:rPr>
                  <w:t>☐</w:t>
                </w:r>
              </w:p>
            </w:tc>
          </w:sdtContent>
        </w:sdt>
      </w:tr>
      <w:tr w14:paraId="6BB199E7" w14:textId="77777777" w:rsidTr="0094077D">
        <w:tblPrEx>
          <w:tblW w:w="5003" w:type="pct"/>
          <w:tblInd w:w="-3" w:type="dxa"/>
          <w:tblLook w:val="01E0"/>
        </w:tblPrEx>
        <w:trPr>
          <w:trHeight w:val="403"/>
        </w:trPr>
        <w:tc>
          <w:tcPr>
            <w:tcW w:w="317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93DF7" w:rsidP="00134583" w14:paraId="33C0975E" w14:textId="2D7E9689">
            <w:pPr>
              <w:pStyle w:val="Lists"/>
              <w:spacing w:before="60" w:after="60"/>
              <w:rPr>
                <w:sz w:val="22"/>
                <w:szCs w:val="22"/>
                <w:lang w:val="en-US"/>
              </w:rPr>
            </w:pPr>
            <w:r w:rsidRPr="000149CF">
              <w:rPr>
                <w:b/>
                <w:bCs/>
                <w:sz w:val="22"/>
                <w:szCs w:val="22"/>
                <w:lang w:val="en-US"/>
              </w:rPr>
              <w:t xml:space="preserve">COBRA Election Notice: </w:t>
            </w:r>
            <w:r w:rsidRPr="00B76711" w:rsidR="005A08E4">
              <w:rPr>
                <w:sz w:val="22"/>
                <w:szCs w:val="22"/>
                <w:lang w:val="en-US"/>
              </w:rPr>
              <w:t>This</w:t>
            </w:r>
            <w:r w:rsidR="005A08E4">
              <w:rPr>
                <w:b/>
                <w:bCs/>
                <w:sz w:val="22"/>
                <w:szCs w:val="22"/>
                <w:lang w:val="en-US"/>
              </w:rPr>
              <w:t xml:space="preserve"> </w:t>
            </w:r>
            <w:r w:rsidR="00B76711">
              <w:rPr>
                <w:sz w:val="22"/>
                <w:szCs w:val="22"/>
                <w:lang w:val="en-US"/>
              </w:rPr>
              <w:t xml:space="preserve">notice informs </w:t>
            </w:r>
            <w:r w:rsidRPr="00415716">
              <w:rPr>
                <w:sz w:val="22"/>
                <w:szCs w:val="22"/>
                <w:lang w:val="en-US"/>
              </w:rPr>
              <w:t>qualified</w:t>
            </w:r>
            <w:r w:rsidRPr="00093DF7">
              <w:rPr>
                <w:sz w:val="22"/>
                <w:szCs w:val="22"/>
                <w:lang w:val="en-US"/>
              </w:rPr>
              <w:t xml:space="preserve"> beneficiarie</w:t>
            </w:r>
            <w:r>
              <w:rPr>
                <w:sz w:val="22"/>
                <w:szCs w:val="22"/>
                <w:lang w:val="en-US"/>
              </w:rPr>
              <w:t>s</w:t>
            </w:r>
            <w:r w:rsidRPr="00093DF7">
              <w:rPr>
                <w:sz w:val="22"/>
                <w:szCs w:val="22"/>
                <w:lang w:val="en-US"/>
              </w:rPr>
              <w:t xml:space="preserve"> of their right to elect continuation coverage following a qualifying event. </w:t>
            </w:r>
            <w:r w:rsidR="00B76711">
              <w:rPr>
                <w:sz w:val="22"/>
                <w:szCs w:val="22"/>
                <w:lang w:val="en-US"/>
              </w:rPr>
              <w:t>It</w:t>
            </w:r>
            <w:r w:rsidRPr="00093DF7">
              <w:rPr>
                <w:sz w:val="22"/>
                <w:szCs w:val="22"/>
                <w:lang w:val="en-US"/>
              </w:rPr>
              <w:t xml:space="preserve"> must be provided no later than 14 days after the plan’s receipt of the notice of a qualifying event. For qualifying events where the employee (or covered dependent) is not required to notify the employer of the qualifying event, the election notice must be provided within 44 days of the qualifying event (or loss of coverage, if later). The DOL has a </w:t>
            </w:r>
            <w:hyperlink r:id="rId23" w:history="1">
              <w:r w:rsidRPr="00093DF7">
                <w:rPr>
                  <w:rStyle w:val="Hyperlink"/>
                  <w:sz w:val="22"/>
                  <w:szCs w:val="22"/>
                  <w:lang w:val="en-US"/>
                </w:rPr>
                <w:t>COBRA Model Election Notice</w:t>
              </w:r>
            </w:hyperlink>
            <w:r w:rsidRPr="00093DF7">
              <w:rPr>
                <w:sz w:val="22"/>
                <w:szCs w:val="22"/>
                <w:lang w:val="en-US"/>
              </w:rPr>
              <w:t xml:space="preserve"> for employers to use.</w:t>
            </w:r>
          </w:p>
        </w:tc>
        <w:sdt>
          <w:sdtPr>
            <w:rPr>
              <w:sz w:val="28"/>
              <w:szCs w:val="28"/>
            </w:rPr>
            <w:id w:val="1688174196"/>
            <w14:checkbox>
              <w14:checked w14:val="0"/>
              <w14:checkedState w14:val="2612" w14:font="MS Gothic"/>
              <w14:uncheckedState w14:val="2610" w14:font="MS Gothic"/>
            </w14:checkbox>
          </w:sdtPr>
          <w:sdtContent>
            <w:tc>
              <w:tcPr>
                <w:tcW w:w="1826"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P="002C6FC2" w14:paraId="7E7BBA93" w14:textId="200F6F35">
                <w:pPr>
                  <w:spacing w:before="60" w:after="60"/>
                  <w:jc w:val="center"/>
                </w:pPr>
                <w:r>
                  <w:rPr>
                    <w:rFonts w:ascii="MS Gothic" w:eastAsia="MS Gothic" w:hAnsi="MS Gothic" w:hint="eastAsia"/>
                    <w:sz w:val="28"/>
                    <w:szCs w:val="28"/>
                  </w:rPr>
                  <w:t>☐</w:t>
                </w:r>
              </w:p>
            </w:tc>
          </w:sdtContent>
        </w:sdt>
      </w:tr>
      <w:tr w14:paraId="0AE1DE34" w14:textId="77777777" w:rsidTr="0094077D">
        <w:tblPrEx>
          <w:tblW w:w="5003" w:type="pct"/>
          <w:tblInd w:w="-3" w:type="dxa"/>
          <w:tblLook w:val="01E0"/>
        </w:tblPrEx>
        <w:trPr>
          <w:trHeight w:val="403"/>
        </w:trPr>
        <w:tc>
          <w:tcPr>
            <w:tcW w:w="317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149CF" w:rsidP="00134583" w14:paraId="176A208A" w14:textId="77777777">
            <w:pPr>
              <w:pStyle w:val="Lists"/>
              <w:spacing w:before="60" w:after="60"/>
              <w:rPr>
                <w:b/>
                <w:bCs/>
                <w:sz w:val="22"/>
                <w:szCs w:val="22"/>
                <w:lang w:val="en-US"/>
              </w:rPr>
            </w:pPr>
            <w:r w:rsidRPr="000149CF">
              <w:rPr>
                <w:b/>
                <w:bCs/>
                <w:sz w:val="22"/>
                <w:szCs w:val="22"/>
                <w:lang w:val="en-US"/>
              </w:rPr>
              <w:t xml:space="preserve">Notice of COBRA Unavailability: </w:t>
            </w:r>
            <w:r w:rsidRPr="00093DF7">
              <w:rPr>
                <w:sz w:val="22"/>
                <w:szCs w:val="22"/>
                <w:lang w:val="en-US"/>
              </w:rPr>
              <w:t>If a request for COBRA continuation coverage (or for an extension of COBRA continuation coverage) is denied, a notice must be provided within 14 days explaining the reason for the denial.</w:t>
            </w:r>
            <w:r>
              <w:rPr>
                <w:b/>
                <w:bCs/>
                <w:sz w:val="22"/>
                <w:szCs w:val="22"/>
                <w:lang w:val="en-US"/>
              </w:rPr>
              <w:t xml:space="preserve"> </w:t>
            </w:r>
          </w:p>
        </w:tc>
        <w:sdt>
          <w:sdtPr>
            <w:rPr>
              <w:sz w:val="28"/>
              <w:szCs w:val="28"/>
            </w:rPr>
            <w:id w:val="-1776393654"/>
            <w14:checkbox>
              <w14:checked w14:val="0"/>
              <w14:checkedState w14:val="2612" w14:font="MS Gothic"/>
              <w14:uncheckedState w14:val="2610" w14:font="MS Gothic"/>
            </w14:checkbox>
          </w:sdtPr>
          <w:sdtContent>
            <w:tc>
              <w:tcPr>
                <w:tcW w:w="1826"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DC0DC6" w:rsidP="002C6FC2" w14:paraId="5D6F1E14" w14:textId="77777777">
                <w:pPr>
                  <w:spacing w:before="60" w:after="60"/>
                  <w:jc w:val="center"/>
                  <w:rPr>
                    <w:sz w:val="28"/>
                    <w:szCs w:val="28"/>
                  </w:rPr>
                </w:pPr>
                <w:r w:rsidRPr="00DC0DC6">
                  <w:rPr>
                    <w:rFonts w:ascii="MS Gothic" w:eastAsia="MS Gothic" w:hAnsi="MS Gothic" w:hint="eastAsia"/>
                    <w:sz w:val="28"/>
                    <w:szCs w:val="28"/>
                  </w:rPr>
                  <w:t>☐</w:t>
                </w:r>
              </w:p>
            </w:tc>
          </w:sdtContent>
        </w:sdt>
      </w:tr>
      <w:tr w14:paraId="09DA1347" w14:textId="77777777" w:rsidTr="0094077D">
        <w:tblPrEx>
          <w:tblW w:w="5003" w:type="pct"/>
          <w:tblInd w:w="-3" w:type="dxa"/>
          <w:tblLook w:val="01E0"/>
        </w:tblPrEx>
        <w:trPr>
          <w:trHeight w:val="403"/>
        </w:trPr>
        <w:tc>
          <w:tcPr>
            <w:tcW w:w="317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149CF" w:rsidP="00134583" w14:paraId="16162AD0" w14:textId="6B667A87">
            <w:pPr>
              <w:pStyle w:val="Lists"/>
              <w:spacing w:before="60" w:after="60"/>
              <w:rPr>
                <w:b/>
                <w:bCs/>
                <w:sz w:val="22"/>
                <w:szCs w:val="22"/>
                <w:lang w:val="en-US"/>
              </w:rPr>
            </w:pPr>
            <w:r w:rsidRPr="000149CF">
              <w:rPr>
                <w:b/>
                <w:bCs/>
                <w:sz w:val="22"/>
                <w:szCs w:val="22"/>
                <w:lang w:val="en-US"/>
              </w:rPr>
              <w:t xml:space="preserve">Notice of COBRA Early Termination: </w:t>
            </w:r>
            <w:r w:rsidRPr="00093DF7">
              <w:rPr>
                <w:sz w:val="22"/>
                <w:szCs w:val="22"/>
                <w:lang w:val="en-US"/>
              </w:rPr>
              <w:t xml:space="preserve">If COBRA coverage terminates early, </w:t>
            </w:r>
            <w:r w:rsidR="0004053A">
              <w:rPr>
                <w:sz w:val="22"/>
                <w:szCs w:val="22"/>
                <w:lang w:val="en-US"/>
              </w:rPr>
              <w:t xml:space="preserve">the </w:t>
            </w:r>
            <w:r w:rsidRPr="00093DF7">
              <w:rPr>
                <w:sz w:val="22"/>
                <w:szCs w:val="22"/>
                <w:lang w:val="en-US"/>
              </w:rPr>
              <w:t xml:space="preserve">qualified beneficiary </w:t>
            </w:r>
            <w:r w:rsidR="0004053A">
              <w:rPr>
                <w:sz w:val="22"/>
                <w:szCs w:val="22"/>
                <w:lang w:val="en-US"/>
              </w:rPr>
              <w:t xml:space="preserve">must be notified of the </w:t>
            </w:r>
            <w:r w:rsidRPr="00093DF7">
              <w:rPr>
                <w:sz w:val="22"/>
                <w:szCs w:val="22"/>
                <w:lang w:val="en-US"/>
              </w:rPr>
              <w:t>early termination. The notice must explain why the coverage will terminate earlier than the end of the maximum coverage period, provide the date the coverage will terminate and describe any rights the qualified beneficiary may have to elect</w:t>
            </w:r>
            <w:r>
              <w:rPr>
                <w:sz w:val="22"/>
                <w:szCs w:val="22"/>
                <w:lang w:val="en-US"/>
              </w:rPr>
              <w:t xml:space="preserve"> </w:t>
            </w:r>
            <w:r w:rsidRPr="00093DF7">
              <w:rPr>
                <w:sz w:val="22"/>
                <w:szCs w:val="22"/>
                <w:lang w:val="en-US"/>
              </w:rPr>
              <w:t>other coverage. The notice must be provided as soon as practicable following the decision to terminate coverage early</w:t>
            </w:r>
            <w:r>
              <w:rPr>
                <w:sz w:val="22"/>
                <w:szCs w:val="22"/>
                <w:lang w:val="en-US"/>
              </w:rPr>
              <w:t xml:space="preserve">. </w:t>
            </w:r>
          </w:p>
        </w:tc>
        <w:sdt>
          <w:sdtPr>
            <w:rPr>
              <w:sz w:val="28"/>
              <w:szCs w:val="28"/>
            </w:rPr>
            <w:id w:val="359780150"/>
            <w14:checkbox>
              <w14:checked w14:val="0"/>
              <w14:checkedState w14:val="2612" w14:font="MS Gothic"/>
              <w14:uncheckedState w14:val="2610" w14:font="MS Gothic"/>
            </w14:checkbox>
          </w:sdtPr>
          <w:sdtContent>
            <w:tc>
              <w:tcPr>
                <w:tcW w:w="1826"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P="002C6FC2" w14:paraId="6B7530B2" w14:textId="77777777">
                <w:pPr>
                  <w:spacing w:before="60" w:after="60"/>
                  <w:jc w:val="center"/>
                </w:pPr>
                <w:r w:rsidRPr="00DC0DC6">
                  <w:rPr>
                    <w:rFonts w:ascii="MS Gothic" w:eastAsia="MS Gothic" w:hAnsi="MS Gothic" w:hint="eastAsia"/>
                    <w:sz w:val="28"/>
                    <w:szCs w:val="28"/>
                  </w:rPr>
                  <w:t>☐</w:t>
                </w:r>
              </w:p>
            </w:tc>
          </w:sdtContent>
        </w:sdt>
      </w:tr>
    </w:tbl>
    <w:p w:rsidR="00415716" w:rsidRPr="00123DA7" w:rsidP="00415716" w14:paraId="4BD17A4D" w14:textId="34087A05">
      <w:pPr>
        <w:pStyle w:val="Lists"/>
        <w:rPr>
          <w:b/>
          <w:bCs/>
          <w:color w:val="0070C0"/>
          <w:sz w:val="36"/>
          <w:szCs w:val="36"/>
          <w:lang w:val="en-US"/>
        </w:rPr>
      </w:pPr>
      <w:r w:rsidRPr="00123DA7">
        <w:rPr>
          <w:b/>
          <w:bCs/>
          <w:color w:val="5083C9"/>
          <w:sz w:val="36"/>
          <w:szCs w:val="36"/>
          <w:lang w:val="en-US"/>
        </w:rPr>
        <w:t>Plan Documentation</w:t>
      </w:r>
    </w:p>
    <w:tbl>
      <w:tblPr>
        <w:tblW w:w="4908"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7013"/>
        <w:gridCol w:w="2159"/>
      </w:tblGrid>
      <w:tr w14:paraId="305A0E30" w14:textId="77777777" w:rsidTr="001F72F2">
        <w:tblPrEx>
          <w:tblW w:w="4908" w:type="pct"/>
          <w:tblLook w:val="01E0"/>
        </w:tblPrEx>
        <w:trPr>
          <w:trHeight w:val="211"/>
          <w:tblHeader/>
        </w:trPr>
        <w:tc>
          <w:tcPr>
            <w:tcW w:w="3823" w:type="pct"/>
            <w:shd w:val="clear" w:color="auto" w:fill="5083C9"/>
            <w:vAlign w:val="center"/>
          </w:tcPr>
          <w:p w:rsidR="00DC0DC6" w:rsidRPr="00D04EE6" w:rsidP="00134583" w14:paraId="7290D13B" w14:textId="2D09DA77">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Documentation</w:t>
            </w:r>
          </w:p>
        </w:tc>
        <w:tc>
          <w:tcPr>
            <w:tcW w:w="1177" w:type="pct"/>
            <w:shd w:val="clear" w:color="auto" w:fill="5083C9"/>
            <w:vAlign w:val="center"/>
          </w:tcPr>
          <w:p w:rsidR="00DC0DC6" w:rsidRPr="00823DD7" w:rsidP="00134583" w14:paraId="38B7B281" w14:textId="4EF5ECE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r w:rsidR="001F72F2">
              <w:rPr>
                <w:rFonts w:asciiTheme="majorHAnsi" w:hAnsiTheme="majorHAnsi" w:cstheme="majorHAnsi"/>
                <w:b/>
                <w:color w:val="FFFFFF" w:themeColor="background1"/>
              </w:rPr>
              <w:t xml:space="preserve"> (or N/A)</w:t>
            </w:r>
          </w:p>
        </w:tc>
      </w:tr>
      <w:tr w14:paraId="5C457167" w14:textId="77777777" w:rsidTr="00DC0DC6">
        <w:tblPrEx>
          <w:tblW w:w="4908" w:type="pct"/>
          <w:tblLook w:val="01E0"/>
        </w:tblPrEx>
        <w:trPr>
          <w:trHeight w:val="403"/>
        </w:trPr>
        <w:tc>
          <w:tcPr>
            <w:tcW w:w="5000" w:type="pct"/>
            <w:gridSpan w:val="2"/>
            <w:shd w:val="clear" w:color="auto" w:fill="FFFFFF" w:themeFill="background1"/>
            <w:vAlign w:val="center"/>
          </w:tcPr>
          <w:p w:rsidR="00DC0DC6" w:rsidRPr="00DC0DC6" w:rsidP="00134583" w14:paraId="3E39B55B" w14:textId="1DFEF39A">
            <w:pPr>
              <w:pStyle w:val="Lists"/>
              <w:spacing w:before="60" w:after="60"/>
              <w:rPr>
                <w:sz w:val="22"/>
                <w:szCs w:val="22"/>
              </w:rPr>
            </w:pPr>
            <w:r w:rsidRPr="00DC0DC6">
              <w:rPr>
                <w:sz w:val="22"/>
                <w:szCs w:val="22"/>
              </w:rPr>
              <w:t xml:space="preserve">Confirm your </w:t>
            </w:r>
            <w:r w:rsidR="008965A8">
              <w:rPr>
                <w:sz w:val="22"/>
                <w:szCs w:val="22"/>
              </w:rPr>
              <w:t>health plan</w:t>
            </w:r>
            <w:r>
              <w:rPr>
                <w:sz w:val="22"/>
                <w:szCs w:val="22"/>
              </w:rPr>
              <w:t xml:space="preserve"> complies with the following plan documentation </w:t>
            </w:r>
            <w:r w:rsidR="00B77F8F">
              <w:rPr>
                <w:sz w:val="22"/>
                <w:szCs w:val="22"/>
              </w:rPr>
              <w:t xml:space="preserve">and disclosure </w:t>
            </w:r>
            <w:r>
              <w:rPr>
                <w:sz w:val="22"/>
                <w:szCs w:val="22"/>
              </w:rPr>
              <w:t xml:space="preserve">requirements: </w:t>
            </w:r>
          </w:p>
        </w:tc>
      </w:tr>
      <w:tr w14:paraId="2974E48B" w14:textId="77777777" w:rsidTr="001F72F2">
        <w:tblPrEx>
          <w:tblW w:w="4908" w:type="pct"/>
          <w:tblLook w:val="01E0"/>
        </w:tblPrEx>
        <w:trPr>
          <w:trHeight w:val="403"/>
        </w:trPr>
        <w:tc>
          <w:tcPr>
            <w:tcW w:w="3823" w:type="pct"/>
            <w:shd w:val="clear" w:color="auto" w:fill="FFFFFF" w:themeFill="background1"/>
            <w:vAlign w:val="center"/>
          </w:tcPr>
          <w:p w:rsidR="00DC0DC6" w:rsidRPr="00BE742F" w:rsidP="00134583" w14:paraId="4B9A25AD" w14:textId="1B49FD71">
            <w:pPr>
              <w:pStyle w:val="Lists"/>
              <w:spacing w:before="60" w:after="60"/>
              <w:rPr>
                <w:sz w:val="22"/>
                <w:szCs w:val="22"/>
                <w:lang w:val="en-US"/>
              </w:rPr>
            </w:pPr>
            <w:r>
              <w:rPr>
                <w:b/>
                <w:bCs/>
                <w:sz w:val="22"/>
                <w:szCs w:val="22"/>
                <w:lang w:val="en-US"/>
              </w:rPr>
              <w:t xml:space="preserve">Plan Documents: </w:t>
            </w:r>
            <w:r>
              <w:rPr>
                <w:sz w:val="22"/>
                <w:szCs w:val="22"/>
                <w:lang w:val="en-US"/>
              </w:rPr>
              <w:t>E</w:t>
            </w:r>
            <w:r w:rsidR="00CE3CF4">
              <w:rPr>
                <w:sz w:val="22"/>
                <w:szCs w:val="22"/>
                <w:lang w:val="en-US"/>
              </w:rPr>
              <w:t>RISA requires e</w:t>
            </w:r>
            <w:r>
              <w:rPr>
                <w:sz w:val="22"/>
                <w:szCs w:val="22"/>
                <w:lang w:val="en-US"/>
              </w:rPr>
              <w:t xml:space="preserve">mployers </w:t>
            </w:r>
            <w:r w:rsidR="00D65EFA">
              <w:rPr>
                <w:sz w:val="22"/>
                <w:szCs w:val="22"/>
                <w:lang w:val="en-US"/>
              </w:rPr>
              <w:t>to</w:t>
            </w:r>
            <w:r>
              <w:rPr>
                <w:sz w:val="22"/>
                <w:szCs w:val="22"/>
                <w:lang w:val="en-US"/>
              </w:rPr>
              <w:t xml:space="preserve"> maintain an official plan document for their health plans and provide </w:t>
            </w:r>
            <w:r w:rsidRPr="00906CBC">
              <w:rPr>
                <w:sz w:val="22"/>
                <w:szCs w:val="22"/>
                <w:lang w:val="en-US"/>
              </w:rPr>
              <w:t>copies of certain plan documents</w:t>
            </w:r>
            <w:r>
              <w:rPr>
                <w:sz w:val="22"/>
                <w:szCs w:val="22"/>
                <w:lang w:val="en-US"/>
              </w:rPr>
              <w:t xml:space="preserve"> </w:t>
            </w:r>
            <w:r w:rsidRPr="00906CBC">
              <w:rPr>
                <w:sz w:val="22"/>
                <w:szCs w:val="22"/>
                <w:lang w:val="en-US"/>
              </w:rPr>
              <w:t>within 30 days after a written request by a participa</w:t>
            </w:r>
            <w:r>
              <w:rPr>
                <w:sz w:val="22"/>
                <w:szCs w:val="22"/>
                <w:lang w:val="en-US"/>
              </w:rPr>
              <w:t xml:space="preserve">nt. </w:t>
            </w:r>
            <w:r w:rsidRPr="00906CBC">
              <w:rPr>
                <w:sz w:val="22"/>
                <w:szCs w:val="22"/>
                <w:lang w:val="en-US"/>
              </w:rPr>
              <w:t>These</w:t>
            </w:r>
            <w:r>
              <w:rPr>
                <w:sz w:val="22"/>
                <w:szCs w:val="22"/>
                <w:lang w:val="en-US"/>
              </w:rPr>
              <w:t xml:space="preserve"> </w:t>
            </w:r>
            <w:r w:rsidRPr="00906CBC">
              <w:rPr>
                <w:sz w:val="22"/>
                <w:szCs w:val="22"/>
                <w:lang w:val="en-US"/>
              </w:rPr>
              <w:t xml:space="preserve">documents include the latest </w:t>
            </w:r>
            <w:r>
              <w:rPr>
                <w:sz w:val="22"/>
                <w:szCs w:val="22"/>
                <w:lang w:val="en-US"/>
              </w:rPr>
              <w:t>summary plan description (</w:t>
            </w:r>
            <w:r w:rsidRPr="00906CBC">
              <w:rPr>
                <w:sz w:val="22"/>
                <w:szCs w:val="22"/>
                <w:lang w:val="en-US"/>
              </w:rPr>
              <w:t>SPD</w:t>
            </w:r>
            <w:r>
              <w:rPr>
                <w:sz w:val="22"/>
                <w:szCs w:val="22"/>
                <w:lang w:val="en-US"/>
              </w:rPr>
              <w:t>)</w:t>
            </w:r>
            <w:r w:rsidRPr="00906CBC">
              <w:rPr>
                <w:sz w:val="22"/>
                <w:szCs w:val="22"/>
                <w:lang w:val="en-US"/>
              </w:rPr>
              <w:t xml:space="preserve">, </w:t>
            </w:r>
            <w:r>
              <w:rPr>
                <w:sz w:val="22"/>
                <w:szCs w:val="22"/>
                <w:lang w:val="en-US"/>
              </w:rPr>
              <w:t>summaries of material modifications (S</w:t>
            </w:r>
            <w:r w:rsidRPr="00906CBC">
              <w:rPr>
                <w:sz w:val="22"/>
                <w:szCs w:val="22"/>
                <w:lang w:val="en-US"/>
              </w:rPr>
              <w:t>MMs</w:t>
            </w:r>
            <w:r>
              <w:rPr>
                <w:sz w:val="22"/>
                <w:szCs w:val="22"/>
                <w:lang w:val="en-US"/>
              </w:rPr>
              <w:t>)</w:t>
            </w:r>
            <w:r w:rsidRPr="00906CBC">
              <w:rPr>
                <w:sz w:val="22"/>
                <w:szCs w:val="22"/>
                <w:lang w:val="en-US"/>
              </w:rPr>
              <w:t>, Form 5500, trust</w:t>
            </w:r>
            <w:r>
              <w:rPr>
                <w:sz w:val="22"/>
                <w:szCs w:val="22"/>
                <w:lang w:val="en-US"/>
              </w:rPr>
              <w:t xml:space="preserve"> </w:t>
            </w:r>
            <w:r w:rsidRPr="00906CBC">
              <w:rPr>
                <w:sz w:val="22"/>
                <w:szCs w:val="22"/>
                <w:lang w:val="en-US"/>
              </w:rPr>
              <w:t>agreements and other instruments under which the plan is</w:t>
            </w:r>
            <w:r>
              <w:rPr>
                <w:sz w:val="22"/>
                <w:szCs w:val="22"/>
                <w:lang w:val="en-US"/>
              </w:rPr>
              <w:t xml:space="preserve"> </w:t>
            </w:r>
            <w:r w:rsidRPr="00906CBC">
              <w:rPr>
                <w:sz w:val="22"/>
                <w:szCs w:val="22"/>
                <w:lang w:val="en-US"/>
              </w:rPr>
              <w:t>established or operated.</w:t>
            </w:r>
            <w:r>
              <w:rPr>
                <w:sz w:val="22"/>
                <w:szCs w:val="22"/>
                <w:lang w:val="en-US"/>
              </w:rPr>
              <w:t xml:space="preserve"> </w:t>
            </w:r>
          </w:p>
        </w:tc>
        <w:sdt>
          <w:sdtPr>
            <w:rPr>
              <w:sz w:val="28"/>
              <w:szCs w:val="28"/>
            </w:rPr>
            <w:id w:val="-1491872378"/>
            <w14:checkbox>
              <w14:checked w14:val="0"/>
              <w14:checkedState w14:val="2612" w14:font="MS Gothic"/>
              <w14:uncheckedState w14:val="2610" w14:font="MS Gothic"/>
            </w14:checkbox>
          </w:sdtPr>
          <w:sdtContent>
            <w:tc>
              <w:tcPr>
                <w:tcW w:w="1177" w:type="pct"/>
                <w:shd w:val="clear" w:color="auto" w:fill="FFFFFF" w:themeFill="background1"/>
                <w:vAlign w:val="center"/>
              </w:tcPr>
              <w:p w:rsidR="00DC0DC6" w:rsidRPr="00B77F8F" w:rsidP="00134583" w14:paraId="73A44BEA" w14:textId="36694D3F">
                <w:pPr>
                  <w:spacing w:before="60" w:after="60"/>
                  <w:jc w:val="center"/>
                  <w:rPr>
                    <w:sz w:val="28"/>
                    <w:szCs w:val="28"/>
                  </w:rPr>
                </w:pPr>
                <w:r>
                  <w:rPr>
                    <w:rFonts w:ascii="MS Gothic" w:eastAsia="MS Gothic" w:hAnsi="MS Gothic" w:hint="eastAsia"/>
                    <w:sz w:val="28"/>
                    <w:szCs w:val="28"/>
                  </w:rPr>
                  <w:t>☐</w:t>
                </w:r>
              </w:p>
            </w:tc>
          </w:sdtContent>
        </w:sdt>
      </w:tr>
      <w:tr w14:paraId="70611745" w14:textId="77777777" w:rsidTr="001F72F2">
        <w:tblPrEx>
          <w:tblW w:w="4908" w:type="pct"/>
          <w:tblLook w:val="01E0"/>
        </w:tblPrEx>
        <w:trPr>
          <w:trHeight w:val="403"/>
        </w:trPr>
        <w:tc>
          <w:tcPr>
            <w:tcW w:w="3823" w:type="pct"/>
            <w:shd w:val="clear" w:color="auto" w:fill="FFFFFF" w:themeFill="background1"/>
            <w:vAlign w:val="center"/>
          </w:tcPr>
          <w:p w:rsidR="00DC0DC6" w:rsidRPr="001159F9" w:rsidP="00134583" w14:paraId="6770C683" w14:textId="49828EB1">
            <w:pPr>
              <w:pStyle w:val="Lists"/>
              <w:spacing w:before="60" w:after="60"/>
              <w:rPr>
                <w:sz w:val="22"/>
                <w:szCs w:val="22"/>
                <w:lang w:val="en-US"/>
              </w:rPr>
            </w:pPr>
            <w:r>
              <w:rPr>
                <w:b/>
                <w:bCs/>
                <w:sz w:val="22"/>
                <w:szCs w:val="22"/>
                <w:lang w:val="en-US"/>
              </w:rPr>
              <w:t xml:space="preserve">SPD: </w:t>
            </w:r>
            <w:r w:rsidR="000729DC">
              <w:rPr>
                <w:sz w:val="22"/>
                <w:szCs w:val="22"/>
                <w:lang w:val="en-US"/>
              </w:rPr>
              <w:t>To comply with ERISA, a</w:t>
            </w:r>
            <w:r w:rsidRPr="007504E9">
              <w:rPr>
                <w:sz w:val="22"/>
                <w:szCs w:val="22"/>
                <w:lang w:val="en-US"/>
              </w:rPr>
              <w:t xml:space="preserve"> health plan’s</w:t>
            </w:r>
            <w:r>
              <w:rPr>
                <w:sz w:val="22"/>
                <w:szCs w:val="22"/>
                <w:lang w:val="en-US"/>
              </w:rPr>
              <w:t xml:space="preserve"> SPD must be provided </w:t>
            </w:r>
            <w:r w:rsidRPr="00906CBC">
              <w:rPr>
                <w:sz w:val="22"/>
                <w:szCs w:val="22"/>
                <w:lang w:val="en-US"/>
              </w:rPr>
              <w:t>to new plan participants within 90</w:t>
            </w:r>
            <w:r>
              <w:rPr>
                <w:sz w:val="22"/>
                <w:szCs w:val="22"/>
                <w:lang w:val="en-US"/>
              </w:rPr>
              <w:t xml:space="preserve"> </w:t>
            </w:r>
            <w:r w:rsidRPr="00906CBC">
              <w:rPr>
                <w:sz w:val="22"/>
                <w:szCs w:val="22"/>
                <w:lang w:val="en-US"/>
              </w:rPr>
              <w:t xml:space="preserve">days of when their coverage begins. An updated </w:t>
            </w:r>
            <w:r w:rsidRPr="00906CBC">
              <w:rPr>
                <w:sz w:val="22"/>
                <w:szCs w:val="22"/>
                <w:lang w:val="en-US"/>
              </w:rPr>
              <w:t>SPD must</w:t>
            </w:r>
            <w:r>
              <w:rPr>
                <w:sz w:val="22"/>
                <w:szCs w:val="22"/>
                <w:lang w:val="en-US"/>
              </w:rPr>
              <w:t xml:space="preserve"> </w:t>
            </w:r>
            <w:r w:rsidRPr="00906CBC">
              <w:rPr>
                <w:sz w:val="22"/>
                <w:szCs w:val="22"/>
                <w:lang w:val="en-US"/>
              </w:rPr>
              <w:t>be provided to covered employees at least every five years if</w:t>
            </w:r>
            <w:r>
              <w:rPr>
                <w:sz w:val="22"/>
                <w:szCs w:val="22"/>
                <w:lang w:val="en-US"/>
              </w:rPr>
              <w:t xml:space="preserve"> </w:t>
            </w:r>
            <w:r w:rsidRPr="00906CBC">
              <w:rPr>
                <w:sz w:val="22"/>
                <w:szCs w:val="22"/>
                <w:lang w:val="en-US"/>
              </w:rPr>
              <w:t>material modifications have been made during that period. If</w:t>
            </w:r>
            <w:r>
              <w:rPr>
                <w:sz w:val="22"/>
                <w:szCs w:val="22"/>
                <w:lang w:val="en-US"/>
              </w:rPr>
              <w:t xml:space="preserve"> </w:t>
            </w:r>
            <w:r w:rsidRPr="00906CBC">
              <w:rPr>
                <w:sz w:val="22"/>
                <w:szCs w:val="22"/>
                <w:lang w:val="en-US"/>
              </w:rPr>
              <w:t>no material modifications have been made, an updated SPD</w:t>
            </w:r>
            <w:r>
              <w:rPr>
                <w:sz w:val="22"/>
                <w:szCs w:val="22"/>
                <w:lang w:val="en-US"/>
              </w:rPr>
              <w:t xml:space="preserve"> </w:t>
            </w:r>
            <w:r w:rsidRPr="00906CBC">
              <w:rPr>
                <w:sz w:val="22"/>
                <w:szCs w:val="22"/>
                <w:lang w:val="en-US"/>
              </w:rPr>
              <w:t>must be provided at least every 10 years.</w:t>
            </w:r>
          </w:p>
        </w:tc>
        <w:sdt>
          <w:sdtPr>
            <w:rPr>
              <w:sz w:val="28"/>
              <w:szCs w:val="28"/>
            </w:rPr>
            <w:id w:val="-227695723"/>
            <w14:checkbox>
              <w14:checked w14:val="0"/>
              <w14:checkedState w14:val="2612" w14:font="MS Gothic"/>
              <w14:uncheckedState w14:val="2610" w14:font="MS Gothic"/>
            </w14:checkbox>
          </w:sdtPr>
          <w:sdtContent>
            <w:tc>
              <w:tcPr>
                <w:tcW w:w="1177" w:type="pct"/>
                <w:shd w:val="clear" w:color="auto" w:fill="FFFFFF" w:themeFill="background1"/>
                <w:vAlign w:val="center"/>
              </w:tcPr>
              <w:p w:rsidR="00DC0DC6" w:rsidRPr="00B77F8F" w:rsidP="00134583" w14:paraId="6C7C8FD4" w14:textId="4EB0FF8A">
                <w:pPr>
                  <w:spacing w:before="60" w:after="60"/>
                  <w:jc w:val="center"/>
                  <w:rPr>
                    <w:sz w:val="28"/>
                    <w:szCs w:val="28"/>
                  </w:rPr>
                </w:pPr>
                <w:r>
                  <w:rPr>
                    <w:rFonts w:ascii="MS Gothic" w:eastAsia="MS Gothic" w:hAnsi="MS Gothic" w:hint="eastAsia"/>
                    <w:sz w:val="28"/>
                    <w:szCs w:val="28"/>
                  </w:rPr>
                  <w:t>☐</w:t>
                </w:r>
              </w:p>
            </w:tc>
          </w:sdtContent>
        </w:sdt>
      </w:tr>
      <w:tr w14:paraId="543C7A23" w14:textId="77777777" w:rsidTr="001F72F2">
        <w:tblPrEx>
          <w:tblW w:w="4908" w:type="pct"/>
          <w:tblLook w:val="01E0"/>
        </w:tblPrEx>
        <w:trPr>
          <w:trHeight w:val="403"/>
        </w:trPr>
        <w:tc>
          <w:tcPr>
            <w:tcW w:w="3823" w:type="pct"/>
            <w:shd w:val="clear" w:color="auto" w:fill="FFFFFF" w:themeFill="background1"/>
            <w:vAlign w:val="center"/>
          </w:tcPr>
          <w:p w:rsidR="00556D9B" w:rsidP="00134583" w14:paraId="5613BD73" w14:textId="77777777">
            <w:pPr>
              <w:pStyle w:val="Lists"/>
              <w:spacing w:before="60" w:after="60"/>
              <w:rPr>
                <w:sz w:val="22"/>
                <w:szCs w:val="22"/>
                <w:lang w:val="en-US"/>
              </w:rPr>
            </w:pPr>
            <w:r>
              <w:rPr>
                <w:b/>
                <w:bCs/>
                <w:sz w:val="22"/>
                <w:szCs w:val="22"/>
                <w:lang w:val="en-US"/>
              </w:rPr>
              <w:t>SMM:</w:t>
            </w:r>
            <w:r w:rsidR="000729DC">
              <w:rPr>
                <w:b/>
                <w:bCs/>
                <w:sz w:val="22"/>
                <w:szCs w:val="22"/>
                <w:lang w:val="en-US"/>
              </w:rPr>
              <w:t xml:space="preserve"> </w:t>
            </w:r>
            <w:r w:rsidRPr="000729DC" w:rsidR="000729DC">
              <w:rPr>
                <w:sz w:val="22"/>
                <w:szCs w:val="22"/>
                <w:lang w:val="en-US"/>
              </w:rPr>
              <w:t>Under ERISA, a</w:t>
            </w:r>
            <w:r w:rsidRPr="000729DC">
              <w:rPr>
                <w:sz w:val="22"/>
                <w:szCs w:val="22"/>
                <w:lang w:val="en-US"/>
              </w:rPr>
              <w:t>n</w:t>
            </w:r>
            <w:r>
              <w:rPr>
                <w:sz w:val="22"/>
                <w:szCs w:val="22"/>
                <w:lang w:val="en-US"/>
              </w:rPr>
              <w:t xml:space="preserve"> SMM mu</w:t>
            </w:r>
            <w:r w:rsidRPr="00906CBC">
              <w:rPr>
                <w:sz w:val="22"/>
                <w:szCs w:val="22"/>
                <w:lang w:val="en-US"/>
              </w:rPr>
              <w:t>st be</w:t>
            </w:r>
            <w:r>
              <w:rPr>
                <w:sz w:val="22"/>
                <w:szCs w:val="22"/>
                <w:lang w:val="en-US"/>
              </w:rPr>
              <w:t xml:space="preserve"> </w:t>
            </w:r>
            <w:r w:rsidRPr="00906CBC">
              <w:rPr>
                <w:sz w:val="22"/>
                <w:szCs w:val="22"/>
                <w:lang w:val="en-US"/>
              </w:rPr>
              <w:t>provided when there is a material modification in the terms</w:t>
            </w:r>
            <w:r>
              <w:rPr>
                <w:sz w:val="22"/>
                <w:szCs w:val="22"/>
                <w:lang w:val="en-US"/>
              </w:rPr>
              <w:t xml:space="preserve"> </w:t>
            </w:r>
            <w:r w:rsidRPr="00906CBC">
              <w:rPr>
                <w:sz w:val="22"/>
                <w:szCs w:val="22"/>
                <w:lang w:val="en-US"/>
              </w:rPr>
              <w:t xml:space="preserve">of the plan or any change in the information required to be in the SPD. </w:t>
            </w:r>
            <w:r w:rsidRPr="00906CBC">
              <w:rPr>
                <w:sz w:val="22"/>
                <w:szCs w:val="22"/>
                <w:lang w:val="en-US"/>
              </w:rPr>
              <w:t>As a general rule</w:t>
            </w:r>
            <w:r w:rsidRPr="00906CBC">
              <w:rPr>
                <w:sz w:val="22"/>
                <w:szCs w:val="22"/>
                <w:lang w:val="en-US"/>
              </w:rPr>
              <w:t>, the SMM must be provided within</w:t>
            </w:r>
            <w:r>
              <w:rPr>
                <w:sz w:val="22"/>
                <w:szCs w:val="22"/>
                <w:lang w:val="en-US"/>
              </w:rPr>
              <w:t xml:space="preserve"> </w:t>
            </w:r>
            <w:r w:rsidRPr="00906CBC">
              <w:rPr>
                <w:sz w:val="22"/>
                <w:szCs w:val="22"/>
                <w:lang w:val="en-US"/>
              </w:rPr>
              <w:t>210 days after the close of the plan year in which the change</w:t>
            </w:r>
            <w:r>
              <w:rPr>
                <w:sz w:val="22"/>
                <w:szCs w:val="22"/>
                <w:lang w:val="en-US"/>
              </w:rPr>
              <w:t xml:space="preserve"> </w:t>
            </w:r>
            <w:r w:rsidRPr="00906CBC">
              <w:rPr>
                <w:sz w:val="22"/>
                <w:szCs w:val="22"/>
                <w:lang w:val="en-US"/>
              </w:rPr>
              <w:t>was adopted. A shorter deadline may apply in some circumstances, depending on the nature of the modification or</w:t>
            </w:r>
            <w:r>
              <w:rPr>
                <w:sz w:val="22"/>
                <w:szCs w:val="22"/>
                <w:lang w:val="en-US"/>
              </w:rPr>
              <w:t xml:space="preserve"> </w:t>
            </w:r>
            <w:r w:rsidRPr="00906CBC">
              <w:rPr>
                <w:sz w:val="22"/>
                <w:szCs w:val="22"/>
                <w:lang w:val="en-US"/>
              </w:rPr>
              <w:t>change. If the change is a material reduction in health</w:t>
            </w:r>
            <w:r>
              <w:rPr>
                <w:sz w:val="22"/>
                <w:szCs w:val="22"/>
                <w:lang w:val="en-US"/>
              </w:rPr>
              <w:t xml:space="preserve"> </w:t>
            </w:r>
            <w:r w:rsidRPr="00906CBC">
              <w:rPr>
                <w:sz w:val="22"/>
                <w:szCs w:val="22"/>
                <w:lang w:val="en-US"/>
              </w:rPr>
              <w:t>plan benefits or services, the deadline for providing the SMM</w:t>
            </w:r>
            <w:r>
              <w:rPr>
                <w:sz w:val="22"/>
                <w:szCs w:val="22"/>
                <w:lang w:val="en-US"/>
              </w:rPr>
              <w:t xml:space="preserve"> </w:t>
            </w:r>
            <w:r w:rsidRPr="00906CBC">
              <w:rPr>
                <w:sz w:val="22"/>
                <w:szCs w:val="22"/>
                <w:lang w:val="en-US"/>
              </w:rPr>
              <w:t xml:space="preserve">is 60 days after the change is adopted. </w:t>
            </w:r>
          </w:p>
          <w:p w:rsidR="00DC0DC6" w:rsidRPr="00BE742F" w:rsidP="00134583" w14:paraId="2FDD89CB" w14:textId="0019C4D4">
            <w:pPr>
              <w:pStyle w:val="Lists"/>
              <w:spacing w:before="60" w:after="60"/>
              <w:rPr>
                <w:sz w:val="22"/>
                <w:szCs w:val="22"/>
                <w:lang w:val="en-US"/>
              </w:rPr>
            </w:pPr>
            <w:r w:rsidRPr="00906CBC">
              <w:rPr>
                <w:sz w:val="22"/>
                <w:szCs w:val="22"/>
                <w:lang w:val="en-US"/>
              </w:rPr>
              <w:t>Also, employers must</w:t>
            </w:r>
            <w:r>
              <w:rPr>
                <w:sz w:val="22"/>
                <w:szCs w:val="22"/>
                <w:lang w:val="en-US"/>
              </w:rPr>
              <w:t xml:space="preserve"> </w:t>
            </w:r>
            <w:r w:rsidRPr="00906CBC">
              <w:rPr>
                <w:sz w:val="22"/>
                <w:szCs w:val="22"/>
                <w:lang w:val="en-US"/>
              </w:rPr>
              <w:t xml:space="preserve">provide 60 </w:t>
            </w:r>
            <w:r w:rsidRPr="00906CBC" w:rsidR="00FE2C7B">
              <w:rPr>
                <w:sz w:val="22"/>
                <w:szCs w:val="22"/>
                <w:lang w:val="en-US"/>
              </w:rPr>
              <w:t>days’</w:t>
            </w:r>
            <w:r w:rsidRPr="00906CBC">
              <w:rPr>
                <w:sz w:val="22"/>
                <w:szCs w:val="22"/>
                <w:lang w:val="en-US"/>
              </w:rPr>
              <w:t xml:space="preserve"> advance notice of any material modification</w:t>
            </w:r>
            <w:r>
              <w:rPr>
                <w:sz w:val="22"/>
                <w:szCs w:val="22"/>
                <w:lang w:val="en-US"/>
              </w:rPr>
              <w:t xml:space="preserve"> </w:t>
            </w:r>
            <w:r w:rsidRPr="00906CBC">
              <w:rPr>
                <w:sz w:val="22"/>
                <w:szCs w:val="22"/>
                <w:lang w:val="en-US"/>
              </w:rPr>
              <w:t>to plan terms or coverage that takes effect mid-plan year and</w:t>
            </w:r>
            <w:r>
              <w:rPr>
                <w:sz w:val="22"/>
                <w:szCs w:val="22"/>
                <w:lang w:val="en-US"/>
              </w:rPr>
              <w:t xml:space="preserve"> </w:t>
            </w:r>
            <w:r w:rsidRPr="00906CBC">
              <w:rPr>
                <w:sz w:val="22"/>
                <w:szCs w:val="22"/>
                <w:lang w:val="en-US"/>
              </w:rPr>
              <w:t xml:space="preserve">affects the content of the plan’s </w:t>
            </w:r>
            <w:r w:rsidR="00556D9B">
              <w:rPr>
                <w:sz w:val="22"/>
                <w:szCs w:val="22"/>
                <w:lang w:val="en-US"/>
              </w:rPr>
              <w:t>summary of benefits and coverage (SB</w:t>
            </w:r>
            <w:r w:rsidRPr="00906CBC">
              <w:rPr>
                <w:sz w:val="22"/>
                <w:szCs w:val="22"/>
                <w:lang w:val="en-US"/>
              </w:rPr>
              <w:t>C</w:t>
            </w:r>
            <w:r w:rsidR="00556D9B">
              <w:rPr>
                <w:sz w:val="22"/>
                <w:szCs w:val="22"/>
                <w:lang w:val="en-US"/>
              </w:rPr>
              <w:t>)</w:t>
            </w:r>
            <w:r w:rsidRPr="00906CBC">
              <w:rPr>
                <w:sz w:val="22"/>
                <w:szCs w:val="22"/>
                <w:lang w:val="en-US"/>
              </w:rPr>
              <w:t>. The 60-day notice can</w:t>
            </w:r>
            <w:r>
              <w:rPr>
                <w:sz w:val="22"/>
                <w:szCs w:val="22"/>
                <w:lang w:val="en-US"/>
              </w:rPr>
              <w:t xml:space="preserve"> </w:t>
            </w:r>
            <w:r w:rsidRPr="00906CBC">
              <w:rPr>
                <w:sz w:val="22"/>
                <w:szCs w:val="22"/>
                <w:lang w:val="en-US"/>
              </w:rPr>
              <w:t>be provided to participants through an updated SBC or by</w:t>
            </w:r>
            <w:r>
              <w:rPr>
                <w:sz w:val="22"/>
                <w:szCs w:val="22"/>
                <w:lang w:val="en-US"/>
              </w:rPr>
              <w:t xml:space="preserve"> </w:t>
            </w:r>
            <w:r w:rsidRPr="00906CBC">
              <w:rPr>
                <w:sz w:val="22"/>
                <w:szCs w:val="22"/>
                <w:lang w:val="en-US"/>
              </w:rPr>
              <w:t>issuing an SMM.</w:t>
            </w:r>
          </w:p>
        </w:tc>
        <w:sdt>
          <w:sdtPr>
            <w:rPr>
              <w:sz w:val="28"/>
              <w:szCs w:val="28"/>
            </w:rPr>
            <w:id w:val="1584641711"/>
            <w14:checkbox>
              <w14:checked w14:val="0"/>
              <w14:checkedState w14:val="2612" w14:font="MS Gothic"/>
              <w14:uncheckedState w14:val="2610" w14:font="MS Gothic"/>
            </w14:checkbox>
          </w:sdtPr>
          <w:sdtContent>
            <w:tc>
              <w:tcPr>
                <w:tcW w:w="1177" w:type="pct"/>
                <w:shd w:val="clear" w:color="auto" w:fill="FFFFFF" w:themeFill="background1"/>
                <w:vAlign w:val="center"/>
              </w:tcPr>
              <w:p w:rsidR="00DC0DC6" w:rsidRPr="00B77F8F" w:rsidP="00134583" w14:paraId="60FBF501" w14:textId="3B78D6B3">
                <w:pPr>
                  <w:spacing w:before="60" w:after="60"/>
                  <w:jc w:val="center"/>
                  <w:rPr>
                    <w:sz w:val="28"/>
                    <w:szCs w:val="28"/>
                  </w:rPr>
                </w:pPr>
                <w:r>
                  <w:rPr>
                    <w:rFonts w:ascii="MS Gothic" w:eastAsia="MS Gothic" w:hAnsi="MS Gothic" w:hint="eastAsia"/>
                    <w:sz w:val="28"/>
                    <w:szCs w:val="28"/>
                  </w:rPr>
                  <w:t>☐</w:t>
                </w:r>
              </w:p>
            </w:tc>
          </w:sdtContent>
        </w:sdt>
      </w:tr>
      <w:tr w14:paraId="1D09C8B5" w14:textId="77777777" w:rsidTr="001F72F2">
        <w:tblPrEx>
          <w:tblW w:w="4908" w:type="pct"/>
          <w:tblLook w:val="01E0"/>
        </w:tblPrEx>
        <w:trPr>
          <w:trHeight w:val="403"/>
        </w:trPr>
        <w:tc>
          <w:tcPr>
            <w:tcW w:w="3823" w:type="pct"/>
            <w:shd w:val="clear" w:color="auto" w:fill="FFFFFF" w:themeFill="background1"/>
            <w:vAlign w:val="center"/>
          </w:tcPr>
          <w:p w:rsidR="00B76711" w:rsidP="00134583" w14:paraId="120E2B71" w14:textId="77777777">
            <w:pPr>
              <w:pStyle w:val="Lists"/>
              <w:spacing w:before="60" w:after="60"/>
              <w:rPr>
                <w:sz w:val="22"/>
                <w:szCs w:val="22"/>
                <w:lang w:val="en-US"/>
              </w:rPr>
            </w:pPr>
            <w:r>
              <w:rPr>
                <w:b/>
                <w:bCs/>
                <w:sz w:val="22"/>
                <w:szCs w:val="22"/>
                <w:lang w:val="en-US"/>
              </w:rPr>
              <w:t>Comparative Analysis</w:t>
            </w:r>
            <w:r w:rsidR="00FC54D0">
              <w:rPr>
                <w:b/>
                <w:bCs/>
                <w:sz w:val="22"/>
                <w:szCs w:val="22"/>
                <w:lang w:val="en-US"/>
              </w:rPr>
              <w:t xml:space="preserve"> of MH/SUD Benefits: </w:t>
            </w:r>
            <w:r w:rsidRPr="00FC54D0" w:rsidR="00FC54D0">
              <w:rPr>
                <w:sz w:val="22"/>
                <w:szCs w:val="22"/>
                <w:lang w:val="en-US"/>
              </w:rPr>
              <w:t xml:space="preserve">MHPAEA requires health plans to conduct comparative analyses of the design and application of </w:t>
            </w:r>
            <w:r w:rsidR="00DA320C">
              <w:rPr>
                <w:sz w:val="22"/>
                <w:szCs w:val="22"/>
                <w:lang w:val="en-US"/>
              </w:rPr>
              <w:t xml:space="preserve">nonquantitative </w:t>
            </w:r>
            <w:r w:rsidR="00375A07">
              <w:rPr>
                <w:sz w:val="22"/>
                <w:szCs w:val="22"/>
                <w:lang w:val="en-US"/>
              </w:rPr>
              <w:t>treatment limitations (</w:t>
            </w:r>
            <w:r w:rsidRPr="00FC54D0" w:rsidR="00FC54D0">
              <w:rPr>
                <w:sz w:val="22"/>
                <w:szCs w:val="22"/>
                <w:lang w:val="en-US"/>
              </w:rPr>
              <w:t>NQTLs</w:t>
            </w:r>
            <w:r w:rsidR="00375A07">
              <w:rPr>
                <w:sz w:val="22"/>
                <w:szCs w:val="22"/>
                <w:lang w:val="en-US"/>
              </w:rPr>
              <w:t>)</w:t>
            </w:r>
            <w:r w:rsidRPr="00FC54D0" w:rsidR="00FC54D0">
              <w:rPr>
                <w:sz w:val="22"/>
                <w:szCs w:val="22"/>
                <w:lang w:val="en-US"/>
              </w:rPr>
              <w:t xml:space="preserve"> used for MH/SUD benefits compared to M/S benefits. Health plans</w:t>
            </w:r>
            <w:r w:rsidR="00733B8C">
              <w:rPr>
                <w:sz w:val="22"/>
                <w:szCs w:val="22"/>
                <w:lang w:val="en-US"/>
              </w:rPr>
              <w:t xml:space="preserve"> </w:t>
            </w:r>
            <w:r w:rsidRPr="00FC54D0" w:rsidR="00FC54D0">
              <w:rPr>
                <w:sz w:val="22"/>
                <w:szCs w:val="22"/>
                <w:lang w:val="en-US"/>
              </w:rPr>
              <w:t xml:space="preserve">must make their comparative analysis available upon request to </w:t>
            </w:r>
            <w:r w:rsidR="00E722BB">
              <w:rPr>
                <w:sz w:val="22"/>
                <w:szCs w:val="22"/>
                <w:lang w:val="en-US"/>
              </w:rPr>
              <w:t xml:space="preserve">federal agencies, such as the </w:t>
            </w:r>
            <w:r w:rsidR="008F0A26">
              <w:rPr>
                <w:sz w:val="22"/>
                <w:szCs w:val="22"/>
                <w:lang w:val="en-US"/>
              </w:rPr>
              <w:t>DOL</w:t>
            </w:r>
            <w:r w:rsidR="000C489C">
              <w:rPr>
                <w:sz w:val="22"/>
                <w:szCs w:val="22"/>
                <w:lang w:val="en-US"/>
              </w:rPr>
              <w:t xml:space="preserve">, </w:t>
            </w:r>
            <w:r w:rsidRPr="00FC54D0" w:rsidR="000C489C">
              <w:rPr>
                <w:sz w:val="22"/>
                <w:szCs w:val="22"/>
                <w:lang w:val="en-US"/>
              </w:rPr>
              <w:t>as</w:t>
            </w:r>
            <w:r w:rsidRPr="00FC54D0" w:rsidR="00FC54D0">
              <w:rPr>
                <w:sz w:val="22"/>
                <w:szCs w:val="22"/>
                <w:lang w:val="en-US"/>
              </w:rPr>
              <w:t xml:space="preserve"> well as applicable state authorities. </w:t>
            </w:r>
          </w:p>
          <w:p w:rsidR="002A1B07" w:rsidRPr="00FC54D0" w:rsidP="00134583" w14:paraId="48907605" w14:textId="76480873">
            <w:pPr>
              <w:pStyle w:val="Lists"/>
              <w:spacing w:before="60" w:after="60"/>
              <w:rPr>
                <w:sz w:val="22"/>
                <w:szCs w:val="22"/>
                <w:lang w:val="en-US"/>
              </w:rPr>
            </w:pPr>
            <w:r w:rsidRPr="00D44AC5">
              <w:rPr>
                <w:sz w:val="22"/>
                <w:szCs w:val="22"/>
                <w:lang w:val="en-US"/>
              </w:rPr>
              <w:t>MHPAEA</w:t>
            </w:r>
            <w:r>
              <w:rPr>
                <w:sz w:val="22"/>
                <w:szCs w:val="22"/>
                <w:lang w:val="en-US"/>
              </w:rPr>
              <w:t xml:space="preserve"> </w:t>
            </w:r>
            <w:r w:rsidRPr="00D44AC5">
              <w:rPr>
                <w:sz w:val="22"/>
                <w:szCs w:val="22"/>
                <w:lang w:val="en-US"/>
              </w:rPr>
              <w:t>appl</w:t>
            </w:r>
            <w:r>
              <w:rPr>
                <w:sz w:val="22"/>
                <w:szCs w:val="22"/>
                <w:lang w:val="en-US"/>
              </w:rPr>
              <w:t>ies</w:t>
            </w:r>
            <w:r w:rsidRPr="00D44AC5">
              <w:rPr>
                <w:sz w:val="22"/>
                <w:szCs w:val="22"/>
                <w:lang w:val="en-US"/>
              </w:rPr>
              <w:t xml:space="preserve"> to group health plans sponsored by employers with more than 50 employees. However,</w:t>
            </w:r>
            <w:r>
              <w:rPr>
                <w:sz w:val="22"/>
                <w:szCs w:val="22"/>
                <w:lang w:val="en-US"/>
              </w:rPr>
              <w:t xml:space="preserve"> </w:t>
            </w:r>
            <w:r w:rsidRPr="00D44AC5">
              <w:rPr>
                <w:sz w:val="22"/>
                <w:szCs w:val="22"/>
                <w:lang w:val="en-US"/>
              </w:rPr>
              <w:t xml:space="preserve">due to an </w:t>
            </w:r>
            <w:r>
              <w:rPr>
                <w:sz w:val="22"/>
                <w:szCs w:val="22"/>
                <w:lang w:val="en-US"/>
              </w:rPr>
              <w:t>A</w:t>
            </w:r>
            <w:r w:rsidRPr="00D44AC5">
              <w:rPr>
                <w:sz w:val="22"/>
                <w:szCs w:val="22"/>
                <w:lang w:val="en-US"/>
              </w:rPr>
              <w:t xml:space="preserve">CA reform, </w:t>
            </w:r>
            <w:r w:rsidRPr="000C7FDB">
              <w:rPr>
                <w:i/>
                <w:iCs/>
                <w:sz w:val="22"/>
                <w:szCs w:val="22"/>
                <w:lang w:val="en-US"/>
              </w:rPr>
              <w:t>insured health plans in the small group market</w:t>
            </w:r>
            <w:r w:rsidRPr="00D44AC5">
              <w:rPr>
                <w:sz w:val="22"/>
                <w:szCs w:val="22"/>
                <w:lang w:val="en-US"/>
              </w:rPr>
              <w:t xml:space="preserve"> must also comply with federal</w:t>
            </w:r>
            <w:r>
              <w:rPr>
                <w:sz w:val="22"/>
                <w:szCs w:val="22"/>
                <w:lang w:val="en-US"/>
              </w:rPr>
              <w:t xml:space="preserve"> </w:t>
            </w:r>
            <w:r w:rsidRPr="00D44AC5">
              <w:rPr>
                <w:sz w:val="22"/>
                <w:szCs w:val="22"/>
                <w:lang w:val="en-US"/>
              </w:rPr>
              <w:t>parity requirements for MH/SUD benefits.</w:t>
            </w:r>
            <w:r>
              <w:rPr>
                <w:sz w:val="22"/>
                <w:szCs w:val="22"/>
                <w:lang w:val="en-US"/>
              </w:rPr>
              <w:t xml:space="preserve"> </w:t>
            </w:r>
            <w:r w:rsidRPr="00FC54D0" w:rsidR="00FC54D0">
              <w:rPr>
                <w:sz w:val="22"/>
                <w:szCs w:val="22"/>
                <w:lang w:val="en-US"/>
              </w:rPr>
              <w:t xml:space="preserve">Employers with fully insured health plans should reach out to their issuers to confirm that comparative analyses will be completed for their </w:t>
            </w:r>
            <w:r w:rsidR="00151397">
              <w:rPr>
                <w:sz w:val="22"/>
                <w:szCs w:val="22"/>
                <w:lang w:val="en-US"/>
              </w:rPr>
              <w:t xml:space="preserve">health </w:t>
            </w:r>
            <w:r w:rsidRPr="00FC54D0" w:rsidR="00FC54D0">
              <w:rPr>
                <w:sz w:val="22"/>
                <w:szCs w:val="22"/>
                <w:lang w:val="en-US"/>
              </w:rPr>
              <w:t xml:space="preserve">plan’s NQTLs for each plan year. </w:t>
            </w:r>
          </w:p>
        </w:tc>
        <w:sdt>
          <w:sdtPr>
            <w:rPr>
              <w:sz w:val="28"/>
              <w:szCs w:val="28"/>
            </w:rPr>
            <w:id w:val="1440793875"/>
            <w14:checkbox>
              <w14:checked w14:val="0"/>
              <w14:checkedState w14:val="2612" w14:font="MS Gothic"/>
              <w14:uncheckedState w14:val="2610" w14:font="MS Gothic"/>
            </w14:checkbox>
          </w:sdtPr>
          <w:sdtContent>
            <w:tc>
              <w:tcPr>
                <w:tcW w:w="1177" w:type="pct"/>
                <w:shd w:val="clear" w:color="auto" w:fill="FFFFFF" w:themeFill="background1"/>
                <w:vAlign w:val="center"/>
              </w:tcPr>
              <w:p w:rsidR="002A1B07" w:rsidRPr="00B77F8F" w:rsidP="00134583" w14:paraId="690C6EF6" w14:textId="3E7B2EC6">
                <w:pPr>
                  <w:spacing w:before="60" w:after="60"/>
                  <w:jc w:val="center"/>
                  <w:rPr>
                    <w:sz w:val="28"/>
                    <w:szCs w:val="28"/>
                  </w:rPr>
                </w:pPr>
                <w:r>
                  <w:rPr>
                    <w:rFonts w:ascii="MS Gothic" w:eastAsia="MS Gothic" w:hAnsi="MS Gothic" w:hint="eastAsia"/>
                    <w:sz w:val="28"/>
                    <w:szCs w:val="28"/>
                  </w:rPr>
                  <w:t>☐</w:t>
                </w:r>
              </w:p>
            </w:tc>
          </w:sdtContent>
        </w:sdt>
      </w:tr>
    </w:tbl>
    <w:p w:rsidR="00B10341" w:rsidRPr="00C1406D" w:rsidP="00C1406D" w14:paraId="5B829C9A" w14:textId="1F8AE454">
      <w:pPr>
        <w:pStyle w:val="Lists"/>
        <w:rPr>
          <w:b/>
          <w:bCs/>
          <w:color w:val="0070C0"/>
          <w:sz w:val="32"/>
          <w:szCs w:val="32"/>
          <w:lang w:val="en-US"/>
        </w:rPr>
      </w:pPr>
      <w:r w:rsidRPr="00C1406D">
        <w:rPr>
          <w:b/>
          <w:bCs/>
          <w:color w:val="0070C0"/>
          <w:sz w:val="32"/>
          <w:szCs w:val="32"/>
          <w:lang w:val="en-US"/>
        </w:rPr>
        <w:t>ERISA Fiduciary Duties</w:t>
      </w:r>
    </w:p>
    <w:tbl>
      <w:tblPr>
        <w:tblW w:w="4908"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7462"/>
        <w:gridCol w:w="1710"/>
      </w:tblGrid>
      <w:tr w14:paraId="04C31188" w14:textId="77777777" w:rsidTr="00A17F97">
        <w:tblPrEx>
          <w:tblW w:w="4908" w:type="pct"/>
          <w:tblLook w:val="01E0"/>
        </w:tblPrEx>
        <w:trPr>
          <w:trHeight w:val="211"/>
          <w:tblHeader/>
        </w:trPr>
        <w:tc>
          <w:tcPr>
            <w:tcW w:w="4068" w:type="pct"/>
            <w:shd w:val="clear" w:color="auto" w:fill="5083C9"/>
            <w:vAlign w:val="center"/>
          </w:tcPr>
          <w:p w:rsidR="00A17F97" w:rsidRPr="00D04EE6" w:rsidP="00134583" w14:paraId="5C60EE07" w14:textId="1132C51B">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Fiduciary Duties</w:t>
            </w:r>
          </w:p>
        </w:tc>
        <w:tc>
          <w:tcPr>
            <w:tcW w:w="932" w:type="pct"/>
            <w:shd w:val="clear" w:color="auto" w:fill="5083C9"/>
            <w:vAlign w:val="center"/>
          </w:tcPr>
          <w:p w:rsidR="00A17F97" w:rsidRPr="00823DD7" w:rsidP="00134583" w14:paraId="0D98678D"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r>
      <w:tr w14:paraId="04C184D5" w14:textId="77777777" w:rsidTr="00A17F97">
        <w:tblPrEx>
          <w:tblW w:w="4908" w:type="pct"/>
          <w:tblLook w:val="01E0"/>
        </w:tblPrEx>
        <w:trPr>
          <w:trHeight w:val="403"/>
        </w:trPr>
        <w:tc>
          <w:tcPr>
            <w:tcW w:w="4068" w:type="pct"/>
            <w:shd w:val="clear" w:color="auto" w:fill="FFFFFF" w:themeFill="background1"/>
            <w:vAlign w:val="center"/>
          </w:tcPr>
          <w:p w:rsidR="00472373" w:rsidP="00134583" w14:paraId="20928E89" w14:textId="77777777">
            <w:pPr>
              <w:pStyle w:val="Lists"/>
              <w:spacing w:before="60" w:after="60"/>
              <w:rPr>
                <w:sz w:val="22"/>
                <w:szCs w:val="22"/>
                <w:lang w:val="en-US"/>
              </w:rPr>
            </w:pPr>
            <w:r w:rsidRPr="00472373">
              <w:rPr>
                <w:b/>
                <w:bCs/>
                <w:sz w:val="22"/>
                <w:szCs w:val="22"/>
                <w:lang w:val="en-US"/>
              </w:rPr>
              <w:t>Review your company’s compliance with ERISA’s fiduciary duty standards on an ongoing basis.</w:t>
            </w:r>
            <w:r>
              <w:rPr>
                <w:sz w:val="22"/>
                <w:szCs w:val="22"/>
                <w:lang w:val="en-US"/>
              </w:rPr>
              <w:t xml:space="preserve"> </w:t>
            </w:r>
          </w:p>
          <w:p w:rsidR="00A17F97" w:rsidP="00134583" w14:paraId="014B7ABD" w14:textId="5189B564">
            <w:pPr>
              <w:pStyle w:val="Lists"/>
              <w:spacing w:before="60" w:after="60"/>
              <w:rPr>
                <w:sz w:val="22"/>
                <w:szCs w:val="22"/>
                <w:lang w:val="en-US"/>
              </w:rPr>
            </w:pPr>
            <w:r w:rsidRPr="002E66A2">
              <w:rPr>
                <w:sz w:val="22"/>
                <w:szCs w:val="22"/>
                <w:lang w:val="en-US"/>
              </w:rPr>
              <w:t xml:space="preserve">Enforcement of </w:t>
            </w:r>
            <w:r>
              <w:rPr>
                <w:sz w:val="22"/>
                <w:szCs w:val="22"/>
                <w:lang w:val="en-US"/>
              </w:rPr>
              <w:t>ERISA’s</w:t>
            </w:r>
            <w:r w:rsidRPr="002E66A2">
              <w:rPr>
                <w:sz w:val="22"/>
                <w:szCs w:val="22"/>
                <w:lang w:val="en-US"/>
              </w:rPr>
              <w:t xml:space="preserve"> strict standards of fiduciary conduct has traditionally focused on retirement plans. However, </w:t>
            </w:r>
            <w:r>
              <w:rPr>
                <w:sz w:val="22"/>
                <w:szCs w:val="22"/>
                <w:lang w:val="en-US"/>
              </w:rPr>
              <w:t>recent</w:t>
            </w:r>
            <w:r w:rsidRPr="002E66A2">
              <w:rPr>
                <w:sz w:val="22"/>
                <w:szCs w:val="22"/>
                <w:lang w:val="en-US"/>
              </w:rPr>
              <w:t xml:space="preserve"> litigation </w:t>
            </w:r>
            <w:r>
              <w:rPr>
                <w:sz w:val="22"/>
                <w:szCs w:val="22"/>
                <w:lang w:val="en-US"/>
              </w:rPr>
              <w:t>has drawn more</w:t>
            </w:r>
            <w:r w:rsidRPr="002E66A2">
              <w:rPr>
                <w:sz w:val="22"/>
                <w:szCs w:val="22"/>
                <w:lang w:val="en-US"/>
              </w:rPr>
              <w:t xml:space="preserve"> attention to employers’ fiduciary responsibilities in managing a broader range of employee benefit plan</w:t>
            </w:r>
            <w:r w:rsidR="007E539A">
              <w:rPr>
                <w:sz w:val="22"/>
                <w:szCs w:val="22"/>
                <w:lang w:val="en-US"/>
              </w:rPr>
              <w:t>s</w:t>
            </w:r>
            <w:r>
              <w:rPr>
                <w:sz w:val="22"/>
                <w:szCs w:val="22"/>
                <w:lang w:val="en-US"/>
              </w:rPr>
              <w:t xml:space="preserve">, </w:t>
            </w:r>
            <w:r w:rsidRPr="002E66A2">
              <w:rPr>
                <w:sz w:val="22"/>
                <w:szCs w:val="22"/>
                <w:lang w:val="en-US"/>
              </w:rPr>
              <w:t>including health plans</w:t>
            </w:r>
            <w:r>
              <w:rPr>
                <w:sz w:val="22"/>
                <w:szCs w:val="22"/>
                <w:lang w:val="en-US"/>
              </w:rPr>
              <w:t xml:space="preserve">. </w:t>
            </w:r>
            <w:r>
              <w:rPr>
                <w:sz w:val="22"/>
                <w:szCs w:val="22"/>
                <w:lang w:val="en-US"/>
              </w:rPr>
              <w:t xml:space="preserve">ERISA requires fiduciaries to discharge their duties with respect to employee benefit plans: </w:t>
            </w:r>
          </w:p>
          <w:p w:rsidR="00A17F97" w:rsidP="00134583" w14:paraId="102696C8" w14:textId="7D486C9C">
            <w:pPr>
              <w:pStyle w:val="Lists"/>
              <w:numPr>
                <w:ilvl w:val="0"/>
                <w:numId w:val="14"/>
              </w:numPr>
              <w:spacing w:before="60" w:after="60"/>
              <w:rPr>
                <w:sz w:val="22"/>
                <w:szCs w:val="22"/>
                <w:lang w:val="en-US"/>
              </w:rPr>
            </w:pPr>
            <w:r>
              <w:rPr>
                <w:sz w:val="22"/>
                <w:szCs w:val="22"/>
                <w:lang w:val="en-US"/>
              </w:rPr>
              <w:t xml:space="preserve">Solely in the interest of plan participants and their beneficiaries; </w:t>
            </w:r>
          </w:p>
          <w:p w:rsidR="00A17F97" w:rsidP="00134583" w14:paraId="454705AE" w14:textId="3CC5E21B">
            <w:pPr>
              <w:pStyle w:val="Lists"/>
              <w:numPr>
                <w:ilvl w:val="0"/>
                <w:numId w:val="14"/>
              </w:numPr>
              <w:spacing w:before="60" w:after="60"/>
              <w:rPr>
                <w:sz w:val="22"/>
                <w:szCs w:val="22"/>
                <w:lang w:val="en-US"/>
              </w:rPr>
            </w:pPr>
            <w:r>
              <w:rPr>
                <w:sz w:val="22"/>
                <w:szCs w:val="22"/>
                <w:lang w:val="en-US"/>
              </w:rPr>
              <w:t xml:space="preserve">For the exclusive purpose of providing plan benefits (and for defraying reasonable expenses of plan administration); </w:t>
            </w:r>
          </w:p>
          <w:p w:rsidR="00A17F97" w:rsidP="00134583" w14:paraId="615F5F61" w14:textId="7E320358">
            <w:pPr>
              <w:pStyle w:val="Lists"/>
              <w:numPr>
                <w:ilvl w:val="0"/>
                <w:numId w:val="14"/>
              </w:numPr>
              <w:spacing w:before="60" w:after="60"/>
              <w:rPr>
                <w:sz w:val="22"/>
                <w:szCs w:val="22"/>
                <w:lang w:val="en-US"/>
              </w:rPr>
            </w:pPr>
            <w:r>
              <w:rPr>
                <w:sz w:val="22"/>
                <w:szCs w:val="22"/>
                <w:lang w:val="en-US"/>
              </w:rPr>
              <w:t>With the care, skill, prudence and diligence that a prudent person in similar circumstances would use</w:t>
            </w:r>
            <w:r w:rsidR="00572F71">
              <w:rPr>
                <w:sz w:val="22"/>
                <w:szCs w:val="22"/>
                <w:lang w:val="en-US"/>
              </w:rPr>
              <w:t>;</w:t>
            </w:r>
            <w:r>
              <w:rPr>
                <w:sz w:val="22"/>
                <w:szCs w:val="22"/>
                <w:lang w:val="en-US"/>
              </w:rPr>
              <w:t xml:space="preserve"> </w:t>
            </w:r>
          </w:p>
          <w:p w:rsidR="00A17F97" w:rsidP="00134583" w14:paraId="0EC67E39" w14:textId="3E8D44F4">
            <w:pPr>
              <w:pStyle w:val="Lists"/>
              <w:numPr>
                <w:ilvl w:val="0"/>
                <w:numId w:val="14"/>
              </w:numPr>
              <w:spacing w:before="60" w:after="60"/>
              <w:rPr>
                <w:sz w:val="22"/>
                <w:szCs w:val="22"/>
                <w:lang w:val="en-US"/>
              </w:rPr>
            </w:pPr>
            <w:r>
              <w:rPr>
                <w:sz w:val="22"/>
                <w:szCs w:val="22"/>
                <w:lang w:val="en-US"/>
              </w:rPr>
              <w:t xml:space="preserve">By diversifying the plan’s investments to minimize the risk of large losses; and </w:t>
            </w:r>
          </w:p>
          <w:p w:rsidR="00A17F97" w:rsidRPr="00BE742F" w:rsidP="00134583" w14:paraId="4A8447BA" w14:textId="765887A9">
            <w:pPr>
              <w:pStyle w:val="Lists"/>
              <w:numPr>
                <w:ilvl w:val="0"/>
                <w:numId w:val="14"/>
              </w:numPr>
              <w:spacing w:before="60" w:after="60"/>
              <w:rPr>
                <w:sz w:val="22"/>
                <w:szCs w:val="22"/>
                <w:lang w:val="en-US"/>
              </w:rPr>
            </w:pPr>
            <w:r>
              <w:rPr>
                <w:sz w:val="22"/>
                <w:szCs w:val="22"/>
                <w:lang w:val="en-US"/>
              </w:rPr>
              <w:t xml:space="preserve">In accordance with the plan’s documents (unless inconsistent with ERISA). </w:t>
            </w:r>
          </w:p>
        </w:tc>
        <w:sdt>
          <w:sdtPr>
            <w:rPr>
              <w:sz w:val="28"/>
              <w:szCs w:val="28"/>
            </w:rPr>
            <w:id w:val="1531067524"/>
            <w14:checkbox>
              <w14:checked w14:val="0"/>
              <w14:checkedState w14:val="2612" w14:font="MS Gothic"/>
              <w14:uncheckedState w14:val="2610" w14:font="MS Gothic"/>
            </w14:checkbox>
          </w:sdtPr>
          <w:sdtContent>
            <w:tc>
              <w:tcPr>
                <w:tcW w:w="932" w:type="pct"/>
                <w:shd w:val="clear" w:color="auto" w:fill="FFFFFF" w:themeFill="background1"/>
                <w:vAlign w:val="center"/>
              </w:tcPr>
              <w:p w:rsidR="00A17F97" w:rsidP="00134583" w14:paraId="4FC082AF" w14:textId="5B335277">
                <w:pPr>
                  <w:spacing w:before="60" w:after="60"/>
                  <w:jc w:val="center"/>
                </w:pPr>
                <w:r>
                  <w:rPr>
                    <w:rFonts w:ascii="MS Gothic" w:eastAsia="MS Gothic" w:hAnsi="MS Gothic" w:hint="eastAsia"/>
                    <w:sz w:val="28"/>
                    <w:szCs w:val="28"/>
                  </w:rPr>
                  <w:t>☐</w:t>
                </w:r>
              </w:p>
            </w:tc>
          </w:sdtContent>
        </w:sdt>
      </w:tr>
    </w:tbl>
    <w:p w:rsidR="007A36AF" w:rsidRPr="008A54F9" w:rsidP="008A54F9" w14:paraId="1E5827EA" w14:textId="418B84BC">
      <w:pPr>
        <w:pStyle w:val="Lists"/>
        <w:rPr>
          <w:b/>
          <w:bCs/>
          <w:color w:val="0070C0"/>
          <w:sz w:val="32"/>
          <w:szCs w:val="32"/>
          <w:lang w:val="en-US"/>
        </w:rPr>
      </w:pPr>
      <w:r w:rsidRPr="008A54F9">
        <w:rPr>
          <w:b/>
          <w:bCs/>
          <w:color w:val="0070C0"/>
          <w:sz w:val="32"/>
          <w:szCs w:val="32"/>
          <w:lang w:val="en-US"/>
        </w:rPr>
        <w:t>Nondiscrimination Testing</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1E0"/>
      </w:tblPr>
      <w:tblGrid>
        <w:gridCol w:w="6742"/>
        <w:gridCol w:w="1260"/>
        <w:gridCol w:w="1342"/>
      </w:tblGrid>
      <w:tr w14:paraId="2D602489" w14:textId="77777777" w:rsidTr="002E3AC2">
        <w:tblPrEx>
          <w:tblW w:w="5000" w:type="pct"/>
          <w:tblLayout w:type="fixed"/>
          <w:tblLook w:val="01E0"/>
        </w:tblPrEx>
        <w:trPr>
          <w:trHeight w:val="211"/>
          <w:tblHeader/>
        </w:trPr>
        <w:tc>
          <w:tcPr>
            <w:tcW w:w="3608" w:type="pct"/>
            <w:shd w:val="clear" w:color="auto" w:fill="5083C9"/>
            <w:vAlign w:val="center"/>
          </w:tcPr>
          <w:p w:rsidR="002E3AC2" w:rsidRPr="00E83A00" w:rsidP="00134583" w14:paraId="5FD3BA4A" w14:textId="0D4BA027">
            <w:pPr>
              <w:spacing w:before="60" w:after="60" w:line="280" w:lineRule="atLeast"/>
              <w:jc w:val="center"/>
              <w:rPr>
                <w:rFonts w:asciiTheme="majorHAnsi" w:hAnsiTheme="majorHAnsi" w:cstheme="majorHAnsi"/>
                <w:b/>
                <w:bCs/>
                <w:color w:val="FFFFFF" w:themeColor="background1"/>
              </w:rPr>
            </w:pPr>
            <w:r w:rsidRPr="00E83A00">
              <w:rPr>
                <w:rFonts w:asciiTheme="majorHAnsi" w:hAnsiTheme="majorHAnsi" w:cstheme="majorHAnsi"/>
                <w:b/>
                <w:bCs/>
                <w:color w:val="FFFFFF" w:themeColor="background1"/>
              </w:rPr>
              <w:t>Section 105(h) Nondiscrimination Testing</w:t>
            </w:r>
          </w:p>
        </w:tc>
        <w:tc>
          <w:tcPr>
            <w:tcW w:w="674" w:type="pct"/>
            <w:shd w:val="clear" w:color="auto" w:fill="5083C9"/>
            <w:vAlign w:val="center"/>
          </w:tcPr>
          <w:p w:rsidR="002E3AC2" w:rsidRPr="00823DD7" w:rsidP="00134583" w14:paraId="589E85DE" w14:textId="419D722A">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c>
          <w:tcPr>
            <w:tcW w:w="718" w:type="pct"/>
            <w:shd w:val="clear" w:color="auto" w:fill="5083C9"/>
            <w:vAlign w:val="center"/>
          </w:tcPr>
          <w:p w:rsidR="002E3AC2" w:rsidP="00134583" w14:paraId="54827F72"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Not Applicable</w:t>
            </w:r>
          </w:p>
        </w:tc>
      </w:tr>
      <w:tr w14:paraId="4CE48CFA" w14:textId="77777777" w:rsidTr="00AC2A5F">
        <w:tblPrEx>
          <w:tblW w:w="5000" w:type="pct"/>
          <w:tblLayout w:type="fixed"/>
          <w:tblLook w:val="01E0"/>
        </w:tblPrEx>
        <w:trPr>
          <w:trHeight w:val="403"/>
        </w:trPr>
        <w:tc>
          <w:tcPr>
            <w:tcW w:w="3608" w:type="pct"/>
            <w:shd w:val="clear" w:color="auto" w:fill="FFFFFF" w:themeFill="background1"/>
            <w:vAlign w:val="center"/>
          </w:tcPr>
          <w:p w:rsidR="00A61A3B" w:rsidRPr="00AC2A5F" w:rsidP="00134583" w14:paraId="208DDE3A" w14:textId="77777777">
            <w:pPr>
              <w:pStyle w:val="Lists"/>
              <w:spacing w:before="60" w:after="60"/>
              <w:rPr>
                <w:b/>
                <w:bCs/>
                <w:sz w:val="22"/>
                <w:szCs w:val="22"/>
              </w:rPr>
            </w:pPr>
            <w:r w:rsidRPr="00AC2A5F">
              <w:rPr>
                <w:b/>
                <w:bCs/>
                <w:sz w:val="22"/>
                <w:szCs w:val="22"/>
              </w:rPr>
              <w:t xml:space="preserve">Perform nondiscrimination testing for </w:t>
            </w:r>
            <w:r w:rsidRPr="001F72F2">
              <w:rPr>
                <w:b/>
                <w:bCs/>
                <w:i/>
                <w:iCs/>
                <w:sz w:val="22"/>
                <w:szCs w:val="22"/>
              </w:rPr>
              <w:t>self-insured health plans</w:t>
            </w:r>
            <w:r w:rsidRPr="00AC2A5F">
              <w:rPr>
                <w:b/>
                <w:bCs/>
                <w:sz w:val="22"/>
                <w:szCs w:val="22"/>
              </w:rPr>
              <w:t xml:space="preserve"> each year. </w:t>
            </w:r>
          </w:p>
          <w:p w:rsidR="00A61A3B" w:rsidRPr="00AC2A5F" w:rsidP="00134583" w14:paraId="7D93201F" w14:textId="3C78E024">
            <w:pPr>
              <w:pStyle w:val="Lists"/>
              <w:spacing w:before="60" w:after="60"/>
              <w:rPr>
                <w:sz w:val="22"/>
                <w:szCs w:val="22"/>
              </w:rPr>
            </w:pPr>
            <w:r w:rsidRPr="00AC2A5F">
              <w:rPr>
                <w:sz w:val="22"/>
                <w:szCs w:val="22"/>
              </w:rPr>
              <w:t xml:space="preserve">Self-insured health plans are subject to nondiscrimination rules under Internal Revenue Code Section 105(h). Under these rules, self-insured health plans cannot discriminate in favor of highly compensated employees (HCEs) with respect to eligibility or benefits. If a plan discriminates in favor of HCEs, HCEs will be taxed on excess reimbursements that would have otherwise been excluded from their income. </w:t>
            </w:r>
            <w:r w:rsidR="00B855DB">
              <w:rPr>
                <w:sz w:val="22"/>
                <w:szCs w:val="22"/>
              </w:rPr>
              <w:t>Depending on the health plan’s design,</w:t>
            </w:r>
            <w:r w:rsidR="00AC2A5F">
              <w:rPr>
                <w:sz w:val="22"/>
                <w:szCs w:val="22"/>
              </w:rPr>
              <w:t xml:space="preserve"> employers </w:t>
            </w:r>
            <w:r w:rsidR="00B855DB">
              <w:rPr>
                <w:sz w:val="22"/>
                <w:szCs w:val="22"/>
              </w:rPr>
              <w:t xml:space="preserve">may </w:t>
            </w:r>
            <w:r w:rsidR="00CB6355">
              <w:rPr>
                <w:sz w:val="22"/>
                <w:szCs w:val="22"/>
              </w:rPr>
              <w:t>wish to</w:t>
            </w:r>
            <w:r w:rsidR="00B855DB">
              <w:rPr>
                <w:sz w:val="22"/>
                <w:szCs w:val="22"/>
              </w:rPr>
              <w:t xml:space="preserve"> </w:t>
            </w:r>
            <w:r w:rsidR="0041670B">
              <w:rPr>
                <w:sz w:val="22"/>
                <w:szCs w:val="22"/>
              </w:rPr>
              <w:t>consider testing their self-insured health plans before the year begins to proactively address any issues and after the plan year concludes</w:t>
            </w:r>
            <w:r w:rsidR="002E3AC2">
              <w:rPr>
                <w:sz w:val="22"/>
                <w:szCs w:val="22"/>
              </w:rPr>
              <w:t xml:space="preserve"> to confirm compliance.</w:t>
            </w:r>
            <w:r w:rsidR="0041670B">
              <w:rPr>
                <w:sz w:val="22"/>
                <w:szCs w:val="22"/>
              </w:rPr>
              <w:t xml:space="preserve"> </w:t>
            </w:r>
          </w:p>
          <w:p w:rsidR="00A61A3B" w:rsidRPr="00AC2A5F" w:rsidP="00134583" w14:paraId="2508A2CD" w14:textId="218DCA7A">
            <w:pPr>
              <w:pStyle w:val="Lists"/>
              <w:spacing w:before="60" w:after="60"/>
              <w:rPr>
                <w:sz w:val="22"/>
                <w:szCs w:val="22"/>
              </w:rPr>
            </w:pPr>
            <w:r w:rsidRPr="00AC2A5F">
              <w:rPr>
                <w:sz w:val="22"/>
                <w:szCs w:val="22"/>
              </w:rPr>
              <w:t>Although the ACA included nondiscrimination requirements for non-grandfathered, fully insured health plans, these rules have been delayed and are not enforced at this time.</w:t>
            </w:r>
          </w:p>
        </w:tc>
        <w:sdt>
          <w:sdtPr>
            <w:rPr>
              <w:sz w:val="28"/>
              <w:szCs w:val="28"/>
            </w:rPr>
            <w:id w:val="-1603795159"/>
            <w14:checkbox>
              <w14:checked w14:val="0"/>
              <w14:checkedState w14:val="2612" w14:font="MS Gothic"/>
              <w14:uncheckedState w14:val="2610" w14:font="MS Gothic"/>
            </w14:checkbox>
          </w:sdtPr>
          <w:sdtContent>
            <w:tc>
              <w:tcPr>
                <w:tcW w:w="674" w:type="pct"/>
                <w:shd w:val="clear" w:color="auto" w:fill="FFFFFF" w:themeFill="background1"/>
                <w:vAlign w:val="center"/>
              </w:tcPr>
              <w:p w:rsidR="00A61A3B" w:rsidRPr="00DC0DC6" w:rsidP="00134583" w14:paraId="575A5C5A" w14:textId="77777777">
                <w:pPr>
                  <w:spacing w:before="60" w:after="60"/>
                  <w:jc w:val="center"/>
                  <w:rPr>
                    <w:sz w:val="28"/>
                    <w:szCs w:val="28"/>
                  </w:rPr>
                </w:pPr>
                <w:r w:rsidRPr="00DC0DC6">
                  <w:rPr>
                    <w:rFonts w:ascii="MS Gothic" w:eastAsia="MS Gothic" w:hAnsi="MS Gothic" w:hint="eastAsia"/>
                    <w:sz w:val="28"/>
                    <w:szCs w:val="28"/>
                  </w:rPr>
                  <w:t>☐</w:t>
                </w:r>
              </w:p>
            </w:tc>
          </w:sdtContent>
        </w:sdt>
        <w:sdt>
          <w:sdtPr>
            <w:rPr>
              <w:sz w:val="28"/>
              <w:szCs w:val="28"/>
            </w:rPr>
            <w:id w:val="86124316"/>
            <w14:checkbox>
              <w14:checked w14:val="0"/>
              <w14:checkedState w14:val="2612" w14:font="MS Gothic"/>
              <w14:uncheckedState w14:val="2610" w14:font="MS Gothic"/>
            </w14:checkbox>
          </w:sdtPr>
          <w:sdtContent>
            <w:tc>
              <w:tcPr>
                <w:tcW w:w="718" w:type="pct"/>
                <w:vAlign w:val="center"/>
              </w:tcPr>
              <w:p w:rsidR="00A61A3B" w:rsidRPr="00DC0DC6" w:rsidP="00134583" w14:paraId="4095C648" w14:textId="77777777">
                <w:pPr>
                  <w:spacing w:before="60" w:after="60"/>
                  <w:jc w:val="center"/>
                  <w:rPr>
                    <w:sz w:val="28"/>
                    <w:szCs w:val="28"/>
                  </w:rPr>
                </w:pPr>
                <w:r w:rsidRPr="00DC0DC6">
                  <w:rPr>
                    <w:rFonts w:ascii="MS Gothic" w:eastAsia="MS Gothic" w:hAnsi="MS Gothic" w:hint="eastAsia"/>
                    <w:sz w:val="28"/>
                    <w:szCs w:val="28"/>
                  </w:rPr>
                  <w:t>☐</w:t>
                </w:r>
              </w:p>
            </w:tc>
          </w:sdtContent>
        </w:sdt>
      </w:tr>
    </w:tbl>
    <w:p w:rsidR="007D2C24" w:rsidRPr="002E3AC2" w:rsidP="002E3AC2" w14:paraId="6267A753" w14:textId="3BA400FD">
      <w:pPr>
        <w:pStyle w:val="Lists"/>
        <w:rPr>
          <w:b/>
          <w:bCs/>
          <w:color w:val="0070C0"/>
          <w:sz w:val="32"/>
          <w:szCs w:val="32"/>
          <w:lang w:val="en-US"/>
        </w:rPr>
      </w:pPr>
      <w:r w:rsidRPr="002E3AC2">
        <w:rPr>
          <w:b/>
          <w:bCs/>
          <w:color w:val="0070C0"/>
          <w:sz w:val="32"/>
          <w:szCs w:val="32"/>
          <w:lang w:val="en-US"/>
        </w:rPr>
        <w:t>Notices and Disclosures</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6054"/>
        <w:gridCol w:w="1645"/>
        <w:gridCol w:w="1645"/>
      </w:tblGrid>
      <w:tr w14:paraId="4B78C0B9" w14:textId="478597F8" w:rsidTr="008D4E85">
        <w:tblPrEx>
          <w:tblW w:w="5000" w:type="pct"/>
          <w:tblLook w:val="01E0"/>
        </w:tblPrEx>
        <w:trPr>
          <w:trHeight w:val="211"/>
          <w:tblHeader/>
        </w:trPr>
        <w:tc>
          <w:tcPr>
            <w:tcW w:w="3240" w:type="pct"/>
            <w:shd w:val="clear" w:color="auto" w:fill="5083C9"/>
            <w:vAlign w:val="center"/>
          </w:tcPr>
          <w:p w:rsidR="008D4E85" w:rsidRPr="00D04EE6" w:rsidP="00134583" w14:paraId="77AC665D" w14:textId="5D558C71">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 xml:space="preserve">Notice </w:t>
            </w:r>
            <w:r w:rsidR="001F72F2">
              <w:rPr>
                <w:rFonts w:asciiTheme="majorHAnsi" w:hAnsiTheme="majorHAnsi" w:cstheme="majorHAnsi"/>
                <w:color w:val="FFFFFF" w:themeColor="background1"/>
                <w:sz w:val="24"/>
                <w:szCs w:val="24"/>
              </w:rPr>
              <w:t xml:space="preserve">and Disclosure </w:t>
            </w:r>
            <w:r>
              <w:rPr>
                <w:rFonts w:asciiTheme="majorHAnsi" w:hAnsiTheme="majorHAnsi" w:cstheme="majorHAnsi"/>
                <w:color w:val="FFFFFF" w:themeColor="background1"/>
                <w:sz w:val="24"/>
                <w:szCs w:val="24"/>
              </w:rPr>
              <w:t>Requirement</w:t>
            </w:r>
            <w:r w:rsidR="001F72F2">
              <w:rPr>
                <w:rFonts w:asciiTheme="majorHAnsi" w:hAnsiTheme="majorHAnsi" w:cstheme="majorHAnsi"/>
                <w:color w:val="FFFFFF" w:themeColor="background1"/>
                <w:sz w:val="24"/>
                <w:szCs w:val="24"/>
              </w:rPr>
              <w:t>s</w:t>
            </w:r>
          </w:p>
        </w:tc>
        <w:tc>
          <w:tcPr>
            <w:tcW w:w="880" w:type="pct"/>
            <w:shd w:val="clear" w:color="auto" w:fill="5083C9"/>
            <w:vAlign w:val="center"/>
          </w:tcPr>
          <w:p w:rsidR="008D4E85" w:rsidRPr="00823DD7" w:rsidP="002567DC" w14:paraId="2BE00050"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c>
          <w:tcPr>
            <w:tcW w:w="880" w:type="pct"/>
            <w:shd w:val="clear" w:color="auto" w:fill="5083C9"/>
          </w:tcPr>
          <w:p w:rsidR="008D4E85" w:rsidP="002567DC" w14:paraId="6B23E3F3" w14:textId="1F0B176A">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Not Applicable</w:t>
            </w:r>
          </w:p>
        </w:tc>
      </w:tr>
      <w:tr w14:paraId="2DF24150" w14:textId="77777777" w:rsidTr="00EF5280">
        <w:tblPrEx>
          <w:tblW w:w="5000" w:type="pct"/>
          <w:tblLook w:val="01E0"/>
        </w:tblPrEx>
        <w:trPr>
          <w:trHeight w:val="403"/>
        </w:trPr>
        <w:tc>
          <w:tcPr>
            <w:tcW w:w="3240" w:type="pct"/>
            <w:shd w:val="clear" w:color="auto" w:fill="FFFFFF" w:themeFill="background1"/>
            <w:vAlign w:val="center"/>
          </w:tcPr>
          <w:p w:rsidR="00D12655" w:rsidRPr="00006E1B" w:rsidP="00134583" w14:paraId="00B5B8F6" w14:textId="36AF2BE3">
            <w:pPr>
              <w:pStyle w:val="Lists"/>
              <w:spacing w:before="60" w:after="60"/>
              <w:rPr>
                <w:sz w:val="22"/>
                <w:szCs w:val="22"/>
                <w:lang w:val="en-US"/>
              </w:rPr>
            </w:pPr>
            <w:r>
              <w:rPr>
                <w:b/>
                <w:bCs/>
                <w:sz w:val="22"/>
                <w:szCs w:val="22"/>
                <w:lang w:val="en-US"/>
              </w:rPr>
              <w:t xml:space="preserve">SBC: </w:t>
            </w:r>
            <w:r w:rsidRPr="00C04FDA">
              <w:rPr>
                <w:sz w:val="22"/>
                <w:szCs w:val="22"/>
                <w:lang w:val="en-US"/>
              </w:rPr>
              <w:t xml:space="preserve">Health plans are required to provide an SBC to applicants and enrollees each year at open enrollment or renewal time. Federal agencies have provided a </w:t>
            </w:r>
            <w:hyperlink r:id="rId24" w:history="1">
              <w:r w:rsidRPr="00C04FDA">
                <w:rPr>
                  <w:rStyle w:val="Hyperlink"/>
                  <w:sz w:val="22"/>
                  <w:szCs w:val="22"/>
                  <w:lang w:val="en-US"/>
                </w:rPr>
                <w:t>template</w:t>
              </w:r>
            </w:hyperlink>
            <w:r w:rsidRPr="00C04FDA">
              <w:rPr>
                <w:sz w:val="22"/>
                <w:szCs w:val="22"/>
                <w:lang w:val="en-US"/>
              </w:rPr>
              <w:t xml:space="preserve"> for the SBC, which health plans are required to use.</w:t>
            </w:r>
            <w:r>
              <w:rPr>
                <w:b/>
                <w:bCs/>
                <w:sz w:val="22"/>
                <w:szCs w:val="22"/>
                <w:lang w:val="en-US"/>
              </w:rPr>
              <w:t xml:space="preserve"> </w:t>
            </w:r>
          </w:p>
        </w:tc>
        <w:sdt>
          <w:sdtPr>
            <w:rPr>
              <w:sz w:val="28"/>
              <w:szCs w:val="28"/>
            </w:rPr>
            <w:id w:val="1428777788"/>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5685743B" w14:textId="247444B8">
                <w:pPr>
                  <w:jc w:val="center"/>
                  <w:rPr>
                    <w:sz w:val="28"/>
                    <w:szCs w:val="28"/>
                  </w:rPr>
                </w:pPr>
                <w:r>
                  <w:rPr>
                    <w:rFonts w:ascii="MS Gothic" w:eastAsia="MS Gothic" w:hAnsi="MS Gothic" w:hint="eastAsia"/>
                    <w:sz w:val="28"/>
                    <w:szCs w:val="28"/>
                  </w:rPr>
                  <w:t>☐</w:t>
                </w:r>
              </w:p>
            </w:tc>
          </w:sdtContent>
        </w:sdt>
        <w:sdt>
          <w:sdtPr>
            <w:rPr>
              <w:sz w:val="28"/>
              <w:szCs w:val="28"/>
            </w:rPr>
            <w:id w:val="-1803914319"/>
            <w14:checkbox>
              <w14:checked w14:val="0"/>
              <w14:checkedState w14:val="2612" w14:font="MS Gothic"/>
              <w14:uncheckedState w14:val="2610" w14:font="MS Gothic"/>
            </w14:checkbox>
          </w:sdtPr>
          <w:sdtContent>
            <w:tc>
              <w:tcPr>
                <w:tcW w:w="880" w:type="pct"/>
                <w:vAlign w:val="center"/>
              </w:tcPr>
              <w:p w:rsidR="00D12655" w:rsidRPr="00A17F97" w:rsidP="00D12655" w14:paraId="58C8E47C" w14:textId="56109510">
                <w:pPr>
                  <w:jc w:val="center"/>
                  <w:rPr>
                    <w:sz w:val="28"/>
                    <w:szCs w:val="28"/>
                  </w:rPr>
                </w:pPr>
                <w:r>
                  <w:rPr>
                    <w:rFonts w:ascii="MS Gothic" w:eastAsia="MS Gothic" w:hAnsi="MS Gothic" w:hint="eastAsia"/>
                    <w:sz w:val="28"/>
                    <w:szCs w:val="28"/>
                  </w:rPr>
                  <w:t>☐</w:t>
                </w:r>
              </w:p>
            </w:tc>
          </w:sdtContent>
        </w:sdt>
      </w:tr>
      <w:tr w14:paraId="26A86274" w14:textId="44042BB9" w:rsidTr="00EF5280">
        <w:tblPrEx>
          <w:tblW w:w="5000" w:type="pct"/>
          <w:tblLook w:val="01E0"/>
        </w:tblPrEx>
        <w:trPr>
          <w:trHeight w:val="403"/>
        </w:trPr>
        <w:tc>
          <w:tcPr>
            <w:tcW w:w="3240" w:type="pct"/>
            <w:shd w:val="clear" w:color="auto" w:fill="FFFFFF" w:themeFill="background1"/>
            <w:vAlign w:val="center"/>
          </w:tcPr>
          <w:p w:rsidR="00D12655" w:rsidRPr="00EF1384" w:rsidP="00134583" w14:paraId="268CD74A" w14:textId="106447A6">
            <w:pPr>
              <w:pStyle w:val="Lists"/>
              <w:spacing w:before="60" w:after="60"/>
              <w:rPr>
                <w:sz w:val="22"/>
                <w:szCs w:val="22"/>
                <w:lang w:val="en-US"/>
              </w:rPr>
            </w:pPr>
            <w:r w:rsidRPr="005656D2">
              <w:rPr>
                <w:b/>
                <w:bCs/>
                <w:sz w:val="22"/>
                <w:szCs w:val="22"/>
                <w:lang w:val="en-US"/>
              </w:rPr>
              <w:t>Medicare Part D Disclosures:</w:t>
            </w:r>
            <w:r>
              <w:rPr>
                <w:sz w:val="22"/>
                <w:szCs w:val="22"/>
                <w:lang w:val="en-US"/>
              </w:rPr>
              <w:t xml:space="preserve"> </w:t>
            </w:r>
            <w:r w:rsidRPr="007501D0">
              <w:rPr>
                <w:sz w:val="22"/>
                <w:szCs w:val="22"/>
                <w:lang w:val="en-US"/>
              </w:rPr>
              <w:t xml:space="preserve">Employer-sponsored health plans offering prescription drug coverage to individuals who are eligible for Medicare Part D </w:t>
            </w:r>
            <w:r>
              <w:rPr>
                <w:sz w:val="22"/>
                <w:szCs w:val="22"/>
                <w:lang w:val="en-US"/>
              </w:rPr>
              <w:t>must disclose whether the plan’s prescription drug coverage is creditable or noncreditable.</w:t>
            </w:r>
            <w:r w:rsidRPr="007501D0">
              <w:rPr>
                <w:sz w:val="22"/>
                <w:szCs w:val="22"/>
                <w:lang w:val="en-US"/>
              </w:rPr>
              <w:t xml:space="preserve"> </w:t>
            </w:r>
            <w:r w:rsidR="0012428A">
              <w:rPr>
                <w:sz w:val="22"/>
                <w:szCs w:val="22"/>
                <w:lang w:val="en-US"/>
              </w:rPr>
              <w:t>This disclosure</w:t>
            </w:r>
            <w:r w:rsidRPr="007501D0">
              <w:rPr>
                <w:sz w:val="22"/>
                <w:szCs w:val="22"/>
                <w:lang w:val="en-US"/>
              </w:rPr>
              <w:t xml:space="preserve"> must be provided at certain times, including before the Medicare Part D Annual Coordinated Election Period (Oct. 15 through Dec. 7 of each year).</w:t>
            </w:r>
            <w:r>
              <w:rPr>
                <w:sz w:val="22"/>
                <w:szCs w:val="22"/>
                <w:lang w:val="en-US"/>
              </w:rPr>
              <w:t xml:space="preserve"> </w:t>
            </w:r>
            <w:hyperlink r:id="rId25" w:history="1">
              <w:r w:rsidRPr="00D52A45" w:rsidR="00D52A45">
                <w:rPr>
                  <w:rStyle w:val="Hyperlink"/>
                  <w:sz w:val="22"/>
                  <w:szCs w:val="22"/>
                  <w:lang w:val="en-US"/>
                </w:rPr>
                <w:t>Model forms</w:t>
              </w:r>
            </w:hyperlink>
            <w:r w:rsidR="00D52A45">
              <w:rPr>
                <w:sz w:val="22"/>
                <w:szCs w:val="22"/>
                <w:lang w:val="en-US"/>
              </w:rPr>
              <w:t xml:space="preserve"> </w:t>
            </w:r>
            <w:r w:rsidRPr="007501D0">
              <w:rPr>
                <w:sz w:val="22"/>
                <w:szCs w:val="22"/>
                <w:lang w:val="en-US"/>
              </w:rPr>
              <w:t>are available from CMS.</w:t>
            </w:r>
          </w:p>
        </w:tc>
        <w:sdt>
          <w:sdtPr>
            <w:rPr>
              <w:sz w:val="28"/>
              <w:szCs w:val="28"/>
            </w:rPr>
            <w:id w:val="2035074864"/>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P="00D12655" w14:paraId="042BFD7D" w14:textId="651F493A">
                <w:pPr>
                  <w:jc w:val="center"/>
                </w:pPr>
                <w:r>
                  <w:rPr>
                    <w:rFonts w:ascii="MS Gothic" w:eastAsia="MS Gothic" w:hAnsi="MS Gothic" w:hint="eastAsia"/>
                    <w:sz w:val="28"/>
                    <w:szCs w:val="28"/>
                  </w:rPr>
                  <w:t>☐</w:t>
                </w:r>
              </w:p>
            </w:tc>
          </w:sdtContent>
        </w:sdt>
        <w:sdt>
          <w:sdtPr>
            <w:rPr>
              <w:sz w:val="28"/>
              <w:szCs w:val="28"/>
            </w:rPr>
            <w:id w:val="-723758085"/>
            <w14:checkbox>
              <w14:checked w14:val="0"/>
              <w14:checkedState w14:val="2612" w14:font="MS Gothic"/>
              <w14:uncheckedState w14:val="2610" w14:font="MS Gothic"/>
            </w14:checkbox>
          </w:sdtPr>
          <w:sdtContent>
            <w:tc>
              <w:tcPr>
                <w:tcW w:w="880" w:type="pct"/>
                <w:vAlign w:val="center"/>
              </w:tcPr>
              <w:p w:rsidR="00D12655" w:rsidRPr="00A17F97" w:rsidP="00D12655" w14:paraId="6F0E406E" w14:textId="4495D4B5">
                <w:pPr>
                  <w:jc w:val="center"/>
                  <w:rPr>
                    <w:sz w:val="28"/>
                    <w:szCs w:val="28"/>
                  </w:rPr>
                </w:pPr>
                <w:r>
                  <w:rPr>
                    <w:rFonts w:ascii="MS Gothic" w:eastAsia="MS Gothic" w:hAnsi="MS Gothic" w:hint="eastAsia"/>
                    <w:sz w:val="28"/>
                    <w:szCs w:val="28"/>
                  </w:rPr>
                  <w:t>☐</w:t>
                </w:r>
              </w:p>
            </w:tc>
          </w:sdtContent>
        </w:sdt>
      </w:tr>
      <w:tr w14:paraId="764B3759" w14:textId="61B37C81" w:rsidTr="005B3544">
        <w:tblPrEx>
          <w:tblW w:w="5000" w:type="pct"/>
          <w:tblLook w:val="01E0"/>
        </w:tblPrEx>
        <w:trPr>
          <w:trHeight w:val="403"/>
        </w:trPr>
        <w:tc>
          <w:tcPr>
            <w:tcW w:w="3240" w:type="pct"/>
            <w:shd w:val="clear" w:color="auto" w:fill="FFFFFF" w:themeFill="background1"/>
            <w:vAlign w:val="center"/>
          </w:tcPr>
          <w:p w:rsidR="00D12655" w:rsidRPr="003657FC" w:rsidP="00134583" w14:paraId="6ADB833F" w14:textId="13C26C14">
            <w:pPr>
              <w:pStyle w:val="Lists"/>
              <w:spacing w:before="60" w:after="60"/>
              <w:rPr>
                <w:sz w:val="22"/>
                <w:szCs w:val="22"/>
                <w:lang w:val="en-US"/>
              </w:rPr>
            </w:pPr>
            <w:r>
              <w:rPr>
                <w:b/>
                <w:bCs/>
                <w:sz w:val="22"/>
                <w:szCs w:val="22"/>
                <w:lang w:val="en-US"/>
              </w:rPr>
              <w:t xml:space="preserve">CHIP Notice: </w:t>
            </w:r>
            <w:r w:rsidRPr="003657FC">
              <w:rPr>
                <w:sz w:val="22"/>
                <w:szCs w:val="22"/>
                <w:lang w:val="en-US"/>
              </w:rPr>
              <w:t>Some states offer eligible low-income children and their families a premium assistance subsidy to help pay for employer-sponsored</w:t>
            </w:r>
            <w:r w:rsidR="006D013B">
              <w:rPr>
                <w:sz w:val="22"/>
                <w:szCs w:val="22"/>
                <w:lang w:val="en-US"/>
              </w:rPr>
              <w:t xml:space="preserve"> health</w:t>
            </w:r>
            <w:r w:rsidRPr="003657FC">
              <w:rPr>
                <w:sz w:val="22"/>
                <w:szCs w:val="22"/>
                <w:lang w:val="en-US"/>
              </w:rPr>
              <w:t xml:space="preserve"> coverage. If an employer’s health plan covers residents in a state that provides </w:t>
            </w:r>
            <w:r w:rsidR="006D013B">
              <w:rPr>
                <w:sz w:val="22"/>
                <w:szCs w:val="22"/>
                <w:lang w:val="en-US"/>
              </w:rPr>
              <w:t xml:space="preserve">such </w:t>
            </w:r>
            <w:r w:rsidRPr="003657FC">
              <w:rPr>
                <w:sz w:val="22"/>
                <w:szCs w:val="22"/>
                <w:lang w:val="en-US"/>
              </w:rPr>
              <w:t xml:space="preserve">a premium subsidy, the employer must send an annual notice about the available assistance to all employees residing in the state. A </w:t>
            </w:r>
            <w:hyperlink r:id="rId26" w:history="1">
              <w:r w:rsidRPr="00A25146">
                <w:rPr>
                  <w:rStyle w:val="Hyperlink"/>
                  <w:sz w:val="22"/>
                  <w:szCs w:val="22"/>
                  <w:lang w:val="en-US"/>
                </w:rPr>
                <w:t>model notice</w:t>
              </w:r>
            </w:hyperlink>
            <w:r w:rsidRPr="003657FC">
              <w:rPr>
                <w:sz w:val="22"/>
                <w:szCs w:val="22"/>
                <w:lang w:val="en-US"/>
              </w:rPr>
              <w:t xml:space="preserve"> is available from the DOL.</w:t>
            </w:r>
          </w:p>
        </w:tc>
        <w:sdt>
          <w:sdtPr>
            <w:rPr>
              <w:sz w:val="28"/>
              <w:szCs w:val="28"/>
            </w:rPr>
            <w:id w:val="-1418321109"/>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0246EEFE" w14:textId="2D0531D1">
                <w:pPr>
                  <w:jc w:val="center"/>
                  <w:rPr>
                    <w:sz w:val="28"/>
                    <w:szCs w:val="28"/>
                  </w:rPr>
                </w:pPr>
                <w:r>
                  <w:rPr>
                    <w:rFonts w:ascii="MS Gothic" w:eastAsia="MS Gothic" w:hAnsi="MS Gothic" w:hint="eastAsia"/>
                    <w:sz w:val="28"/>
                    <w:szCs w:val="28"/>
                  </w:rPr>
                  <w:t>☐</w:t>
                </w:r>
              </w:p>
            </w:tc>
          </w:sdtContent>
        </w:sdt>
        <w:sdt>
          <w:sdtPr>
            <w:rPr>
              <w:sz w:val="28"/>
              <w:szCs w:val="28"/>
            </w:rPr>
            <w:id w:val="1680774007"/>
            <w14:checkbox>
              <w14:checked w14:val="0"/>
              <w14:checkedState w14:val="2612" w14:font="MS Gothic"/>
              <w14:uncheckedState w14:val="2610" w14:font="MS Gothic"/>
            </w14:checkbox>
          </w:sdtPr>
          <w:sdtContent>
            <w:tc>
              <w:tcPr>
                <w:tcW w:w="880" w:type="pct"/>
                <w:vAlign w:val="center"/>
              </w:tcPr>
              <w:p w:rsidR="00D12655" w:rsidRPr="00A17F97" w:rsidP="00D12655" w14:paraId="3DBC5920" w14:textId="4266CFE9">
                <w:pPr>
                  <w:jc w:val="center"/>
                  <w:rPr>
                    <w:sz w:val="28"/>
                    <w:szCs w:val="28"/>
                  </w:rPr>
                </w:pPr>
                <w:r>
                  <w:rPr>
                    <w:rFonts w:ascii="MS Gothic" w:eastAsia="MS Gothic" w:hAnsi="MS Gothic" w:hint="eastAsia"/>
                    <w:sz w:val="28"/>
                    <w:szCs w:val="28"/>
                  </w:rPr>
                  <w:t>☐</w:t>
                </w:r>
              </w:p>
            </w:tc>
          </w:sdtContent>
        </w:sdt>
      </w:tr>
      <w:tr w14:paraId="47C4AF22" w14:textId="261A3384" w:rsidTr="00B26002">
        <w:tblPrEx>
          <w:tblW w:w="5000" w:type="pct"/>
          <w:tblLook w:val="01E0"/>
        </w:tblPrEx>
        <w:trPr>
          <w:trHeight w:val="403"/>
        </w:trPr>
        <w:tc>
          <w:tcPr>
            <w:tcW w:w="3240" w:type="pct"/>
            <w:shd w:val="clear" w:color="auto" w:fill="FFFFFF" w:themeFill="background1"/>
            <w:vAlign w:val="center"/>
          </w:tcPr>
          <w:p w:rsidR="00D12655" w:rsidRPr="004E4865" w:rsidP="00134583" w14:paraId="13BE12F4" w14:textId="34A2920D">
            <w:pPr>
              <w:pStyle w:val="Lists"/>
              <w:spacing w:before="60" w:after="60"/>
              <w:rPr>
                <w:sz w:val="22"/>
                <w:szCs w:val="22"/>
                <w:lang w:val="en-US"/>
              </w:rPr>
            </w:pPr>
            <w:r>
              <w:rPr>
                <w:b/>
                <w:bCs/>
                <w:sz w:val="22"/>
                <w:szCs w:val="22"/>
                <w:lang w:val="en-US"/>
              </w:rPr>
              <w:t xml:space="preserve">HIPAA Privacy Notice: </w:t>
            </w:r>
            <w:r w:rsidRPr="004E4865">
              <w:rPr>
                <w:sz w:val="22"/>
                <w:szCs w:val="22"/>
                <w:lang w:val="en-US"/>
              </w:rPr>
              <w:t xml:space="preserve">The HIPAA Privacy Rule </w:t>
            </w:r>
            <w:r>
              <w:rPr>
                <w:sz w:val="22"/>
                <w:szCs w:val="22"/>
                <w:lang w:val="en-US"/>
              </w:rPr>
              <w:t>requires health plans and issuers</w:t>
            </w:r>
            <w:r w:rsidRPr="004E4865">
              <w:rPr>
                <w:sz w:val="22"/>
                <w:szCs w:val="22"/>
                <w:lang w:val="en-US"/>
              </w:rPr>
              <w:t xml:space="preserve"> to provide a Notice of Privacy Practices (or Privacy Notice) to </w:t>
            </w:r>
            <w:r>
              <w:rPr>
                <w:sz w:val="22"/>
                <w:szCs w:val="22"/>
                <w:lang w:val="en-US"/>
              </w:rPr>
              <w:t xml:space="preserve">covered individuals at </w:t>
            </w:r>
            <w:r w:rsidRPr="004E4865">
              <w:rPr>
                <w:sz w:val="22"/>
                <w:szCs w:val="22"/>
                <w:lang w:val="en-US"/>
              </w:rPr>
              <w:t>certain times, including to new</w:t>
            </w:r>
            <w:r>
              <w:rPr>
                <w:sz w:val="22"/>
                <w:szCs w:val="22"/>
                <w:lang w:val="en-US"/>
              </w:rPr>
              <w:t xml:space="preserve"> </w:t>
            </w:r>
            <w:r w:rsidRPr="004E4865">
              <w:rPr>
                <w:sz w:val="22"/>
                <w:szCs w:val="22"/>
                <w:lang w:val="en-US"/>
              </w:rPr>
              <w:t>enrollees at the time of enrollment. Also, at least once every three years, health plans must either redistribute the Privacy</w:t>
            </w:r>
            <w:r>
              <w:rPr>
                <w:sz w:val="22"/>
                <w:szCs w:val="22"/>
                <w:lang w:val="en-US"/>
              </w:rPr>
              <w:t xml:space="preserve"> </w:t>
            </w:r>
            <w:r w:rsidRPr="004E4865">
              <w:rPr>
                <w:sz w:val="22"/>
                <w:szCs w:val="22"/>
                <w:lang w:val="en-US"/>
              </w:rPr>
              <w:t>Notice or notify participants that the Privacy Notice is available and explain how to obtain a copy.</w:t>
            </w:r>
            <w:r>
              <w:rPr>
                <w:sz w:val="22"/>
                <w:szCs w:val="22"/>
                <w:lang w:val="en-US"/>
              </w:rPr>
              <w:t xml:space="preserve"> </w:t>
            </w:r>
            <w:r w:rsidRPr="006840FC">
              <w:rPr>
                <w:sz w:val="22"/>
                <w:szCs w:val="22"/>
                <w:lang w:val="en-US"/>
              </w:rPr>
              <w:t xml:space="preserve">A </w:t>
            </w:r>
            <w:hyperlink r:id="rId27" w:history="1">
              <w:r w:rsidRPr="004756F2">
                <w:rPr>
                  <w:rStyle w:val="Hyperlink"/>
                  <w:sz w:val="22"/>
                  <w:szCs w:val="22"/>
                  <w:lang w:val="en-US"/>
                </w:rPr>
                <w:t>model Privacy Notice</w:t>
              </w:r>
            </w:hyperlink>
            <w:r w:rsidRPr="006840FC">
              <w:rPr>
                <w:sz w:val="22"/>
                <w:szCs w:val="22"/>
                <w:lang w:val="en-US"/>
              </w:rPr>
              <w:t xml:space="preserve"> is available from HHS.</w:t>
            </w:r>
          </w:p>
          <w:p w:rsidR="00D12655" w:rsidP="00134583" w14:paraId="658179EF" w14:textId="4674E320">
            <w:pPr>
              <w:pStyle w:val="Lists"/>
              <w:spacing w:before="60" w:after="60"/>
              <w:rPr>
                <w:b/>
                <w:bCs/>
                <w:sz w:val="22"/>
                <w:szCs w:val="22"/>
                <w:lang w:val="en-US"/>
              </w:rPr>
            </w:pPr>
            <w:r w:rsidRPr="004E4865">
              <w:rPr>
                <w:sz w:val="22"/>
                <w:szCs w:val="22"/>
                <w:lang w:val="en-US"/>
              </w:rPr>
              <w:t xml:space="preserve">Self-insured health plans are required to maintain and provide their own Privacy Notices. </w:t>
            </w:r>
            <w:r>
              <w:rPr>
                <w:sz w:val="22"/>
                <w:szCs w:val="22"/>
                <w:lang w:val="en-US"/>
              </w:rPr>
              <w:t xml:space="preserve">However, there is an exemption for </w:t>
            </w:r>
            <w:r w:rsidRPr="00D30485">
              <w:rPr>
                <w:sz w:val="22"/>
                <w:szCs w:val="22"/>
                <w:lang w:val="en-US"/>
              </w:rPr>
              <w:t>self-funded health plan</w:t>
            </w:r>
            <w:r>
              <w:rPr>
                <w:sz w:val="22"/>
                <w:szCs w:val="22"/>
                <w:lang w:val="en-US"/>
              </w:rPr>
              <w:t>s</w:t>
            </w:r>
            <w:r w:rsidRPr="00D30485">
              <w:rPr>
                <w:sz w:val="22"/>
                <w:szCs w:val="22"/>
                <w:lang w:val="en-US"/>
              </w:rPr>
              <w:t xml:space="preserve"> with fewer than 50 participants that </w:t>
            </w:r>
            <w:r>
              <w:rPr>
                <w:sz w:val="22"/>
                <w:szCs w:val="22"/>
                <w:lang w:val="en-US"/>
              </w:rPr>
              <w:t>are</w:t>
            </w:r>
            <w:r w:rsidRPr="00D30485">
              <w:rPr>
                <w:sz w:val="22"/>
                <w:szCs w:val="22"/>
                <w:lang w:val="en-US"/>
              </w:rPr>
              <w:t xml:space="preserve"> administered by the</w:t>
            </w:r>
            <w:r>
              <w:rPr>
                <w:sz w:val="22"/>
                <w:szCs w:val="22"/>
                <w:lang w:val="en-US"/>
              </w:rPr>
              <w:t>ir sponsoring</w:t>
            </w:r>
            <w:r w:rsidRPr="00D30485">
              <w:rPr>
                <w:sz w:val="22"/>
                <w:szCs w:val="22"/>
                <w:lang w:val="en-US"/>
              </w:rPr>
              <w:t xml:space="preserve"> employer</w:t>
            </w:r>
            <w:r>
              <w:rPr>
                <w:sz w:val="22"/>
                <w:szCs w:val="22"/>
                <w:lang w:val="en-US"/>
              </w:rPr>
              <w:t>. Also, s</w:t>
            </w:r>
            <w:r w:rsidRPr="004E4865">
              <w:rPr>
                <w:sz w:val="22"/>
                <w:szCs w:val="22"/>
                <w:lang w:val="en-US"/>
              </w:rPr>
              <w:t>pecial rules</w:t>
            </w:r>
            <w:r>
              <w:rPr>
                <w:sz w:val="22"/>
                <w:szCs w:val="22"/>
                <w:lang w:val="en-US"/>
              </w:rPr>
              <w:t xml:space="preserve"> </w:t>
            </w:r>
            <w:r w:rsidRPr="004E4865">
              <w:rPr>
                <w:sz w:val="22"/>
                <w:szCs w:val="22"/>
                <w:lang w:val="en-US"/>
              </w:rPr>
              <w:t>apply for fully</w:t>
            </w:r>
            <w:r>
              <w:rPr>
                <w:sz w:val="22"/>
                <w:szCs w:val="22"/>
                <w:lang w:val="en-US"/>
              </w:rPr>
              <w:t xml:space="preserve"> </w:t>
            </w:r>
            <w:r w:rsidRPr="004E4865">
              <w:rPr>
                <w:sz w:val="22"/>
                <w:szCs w:val="22"/>
                <w:lang w:val="en-US"/>
              </w:rPr>
              <w:t>insured plans. Under these rules, the health insurance issuer, and not the health plan itself, is primarily responsible for the</w:t>
            </w:r>
            <w:r>
              <w:rPr>
                <w:sz w:val="22"/>
                <w:szCs w:val="22"/>
                <w:lang w:val="en-US"/>
              </w:rPr>
              <w:t xml:space="preserve"> </w:t>
            </w:r>
            <w:r w:rsidRPr="004E4865">
              <w:rPr>
                <w:sz w:val="22"/>
                <w:szCs w:val="22"/>
                <w:lang w:val="en-US"/>
              </w:rPr>
              <w:t>Privacy Notice</w:t>
            </w:r>
            <w:r>
              <w:rPr>
                <w:sz w:val="22"/>
                <w:szCs w:val="22"/>
                <w:lang w:val="en-US"/>
              </w:rPr>
              <w:t xml:space="preserve">. </w:t>
            </w:r>
          </w:p>
        </w:tc>
        <w:sdt>
          <w:sdtPr>
            <w:rPr>
              <w:sz w:val="28"/>
              <w:szCs w:val="28"/>
            </w:rPr>
            <w:id w:val="-166334873"/>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332FB1CC" w14:textId="6C463D5E">
                <w:pPr>
                  <w:jc w:val="center"/>
                  <w:rPr>
                    <w:sz w:val="28"/>
                    <w:szCs w:val="28"/>
                  </w:rPr>
                </w:pPr>
                <w:r>
                  <w:rPr>
                    <w:rFonts w:ascii="MS Gothic" w:eastAsia="MS Gothic" w:hAnsi="MS Gothic" w:hint="eastAsia"/>
                    <w:sz w:val="28"/>
                    <w:szCs w:val="28"/>
                  </w:rPr>
                  <w:t>☐</w:t>
                </w:r>
              </w:p>
            </w:tc>
          </w:sdtContent>
        </w:sdt>
        <w:sdt>
          <w:sdtPr>
            <w:rPr>
              <w:sz w:val="28"/>
              <w:szCs w:val="28"/>
            </w:rPr>
            <w:id w:val="1533229322"/>
            <w14:checkbox>
              <w14:checked w14:val="0"/>
              <w14:checkedState w14:val="2612" w14:font="MS Gothic"/>
              <w14:uncheckedState w14:val="2610" w14:font="MS Gothic"/>
            </w14:checkbox>
          </w:sdtPr>
          <w:sdtContent>
            <w:tc>
              <w:tcPr>
                <w:tcW w:w="880" w:type="pct"/>
                <w:vAlign w:val="center"/>
              </w:tcPr>
              <w:p w:rsidR="00D12655" w:rsidRPr="00A17F97" w:rsidP="00D12655" w14:paraId="56371768" w14:textId="1A57A24B">
                <w:pPr>
                  <w:jc w:val="center"/>
                  <w:rPr>
                    <w:sz w:val="28"/>
                    <w:szCs w:val="28"/>
                  </w:rPr>
                </w:pPr>
                <w:r>
                  <w:rPr>
                    <w:rFonts w:ascii="MS Gothic" w:eastAsia="MS Gothic" w:hAnsi="MS Gothic" w:hint="eastAsia"/>
                    <w:sz w:val="28"/>
                    <w:szCs w:val="28"/>
                  </w:rPr>
                  <w:t>☐</w:t>
                </w:r>
              </w:p>
            </w:tc>
          </w:sdtContent>
        </w:sdt>
      </w:tr>
      <w:tr w14:paraId="7949C9FE" w14:textId="77777777" w:rsidTr="008E796F">
        <w:tblPrEx>
          <w:tblW w:w="5000" w:type="pct"/>
          <w:tblLook w:val="01E0"/>
        </w:tblPrEx>
        <w:trPr>
          <w:trHeight w:val="403"/>
        </w:trPr>
        <w:tc>
          <w:tcPr>
            <w:tcW w:w="3240" w:type="pct"/>
            <w:shd w:val="clear" w:color="auto" w:fill="FFFFFF" w:themeFill="background1"/>
            <w:vAlign w:val="center"/>
          </w:tcPr>
          <w:p w:rsidR="00D12655" w:rsidRPr="007669CE" w:rsidP="00134583" w14:paraId="746FCF16" w14:textId="1F52940B">
            <w:pPr>
              <w:pStyle w:val="Lists"/>
              <w:spacing w:before="60" w:after="60"/>
              <w:rPr>
                <w:sz w:val="22"/>
                <w:szCs w:val="22"/>
                <w:lang w:val="en-US"/>
              </w:rPr>
            </w:pPr>
            <w:r>
              <w:rPr>
                <w:b/>
                <w:bCs/>
                <w:sz w:val="22"/>
                <w:szCs w:val="22"/>
                <w:lang w:val="en-US"/>
              </w:rPr>
              <w:t>Exchange Notice</w:t>
            </w:r>
            <w:r w:rsidR="00096241">
              <w:rPr>
                <w:b/>
                <w:bCs/>
                <w:sz w:val="22"/>
                <w:szCs w:val="22"/>
                <w:lang w:val="en-US"/>
              </w:rPr>
              <w:t xml:space="preserve">: </w:t>
            </w:r>
            <w:r w:rsidRPr="007669CE">
              <w:rPr>
                <w:sz w:val="22"/>
                <w:szCs w:val="22"/>
                <w:lang w:val="en-US"/>
              </w:rPr>
              <w:t>The ACA requires employers to provide all new hires with a written notice about the health insurance Exchanges.</w:t>
            </w:r>
            <w:r>
              <w:rPr>
                <w:sz w:val="22"/>
                <w:szCs w:val="22"/>
                <w:lang w:val="en-US"/>
              </w:rPr>
              <w:t xml:space="preserve"> </w:t>
            </w:r>
            <w:r w:rsidRPr="008A4991">
              <w:rPr>
                <w:sz w:val="22"/>
                <w:szCs w:val="22"/>
                <w:lang w:val="en-US"/>
              </w:rPr>
              <w:t xml:space="preserve">The DOL has provided </w:t>
            </w:r>
            <w:hyperlink r:id="rId28" w:history="1">
              <w:r w:rsidRPr="004F39AE">
                <w:rPr>
                  <w:rStyle w:val="Hyperlink"/>
                  <w:sz w:val="22"/>
                  <w:szCs w:val="22"/>
                  <w:lang w:val="en-US"/>
                </w:rPr>
                <w:t>model Exchange notices</w:t>
              </w:r>
            </w:hyperlink>
            <w:r w:rsidRPr="008A4991">
              <w:rPr>
                <w:sz w:val="22"/>
                <w:szCs w:val="22"/>
                <w:lang w:val="en-US"/>
              </w:rPr>
              <w:t xml:space="preserve"> for employers to use</w:t>
            </w:r>
            <w:r>
              <w:rPr>
                <w:sz w:val="22"/>
                <w:szCs w:val="22"/>
                <w:lang w:val="en-US"/>
              </w:rPr>
              <w:t xml:space="preserve">. </w:t>
            </w:r>
          </w:p>
        </w:tc>
        <w:sdt>
          <w:sdtPr>
            <w:rPr>
              <w:sz w:val="28"/>
              <w:szCs w:val="28"/>
            </w:rPr>
            <w:id w:val="938403483"/>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006870D0" w14:textId="431B34D3">
                <w:pPr>
                  <w:jc w:val="center"/>
                  <w:rPr>
                    <w:sz w:val="28"/>
                    <w:szCs w:val="28"/>
                  </w:rPr>
                </w:pPr>
                <w:r>
                  <w:rPr>
                    <w:rFonts w:ascii="MS Gothic" w:eastAsia="MS Gothic" w:hAnsi="MS Gothic" w:hint="eastAsia"/>
                    <w:sz w:val="28"/>
                    <w:szCs w:val="28"/>
                  </w:rPr>
                  <w:t>☐</w:t>
                </w:r>
              </w:p>
            </w:tc>
          </w:sdtContent>
        </w:sdt>
        <w:sdt>
          <w:sdtPr>
            <w:rPr>
              <w:sz w:val="28"/>
              <w:szCs w:val="28"/>
            </w:rPr>
            <w:id w:val="1095745520"/>
            <w14:checkbox>
              <w14:checked w14:val="0"/>
              <w14:checkedState w14:val="2612" w14:font="MS Gothic"/>
              <w14:uncheckedState w14:val="2610" w14:font="MS Gothic"/>
            </w14:checkbox>
          </w:sdtPr>
          <w:sdtContent>
            <w:tc>
              <w:tcPr>
                <w:tcW w:w="880" w:type="pct"/>
                <w:vAlign w:val="center"/>
              </w:tcPr>
              <w:p w:rsidR="00D12655" w:rsidRPr="00A17F97" w:rsidP="00D12655" w14:paraId="41BC8BBE" w14:textId="3544EAFC">
                <w:pPr>
                  <w:jc w:val="center"/>
                  <w:rPr>
                    <w:sz w:val="28"/>
                    <w:szCs w:val="28"/>
                  </w:rPr>
                </w:pPr>
                <w:r>
                  <w:rPr>
                    <w:rFonts w:ascii="MS Gothic" w:eastAsia="MS Gothic" w:hAnsi="MS Gothic" w:hint="eastAsia"/>
                    <w:sz w:val="28"/>
                    <w:szCs w:val="28"/>
                  </w:rPr>
                  <w:t>☐</w:t>
                </w:r>
              </w:p>
            </w:tc>
          </w:sdtContent>
        </w:sdt>
      </w:tr>
      <w:tr w14:paraId="349993B8" w14:textId="77777777" w:rsidTr="00FB205B">
        <w:tblPrEx>
          <w:tblW w:w="5000" w:type="pct"/>
          <w:tblLook w:val="01E0"/>
        </w:tblPrEx>
        <w:trPr>
          <w:trHeight w:val="403"/>
        </w:trPr>
        <w:tc>
          <w:tcPr>
            <w:tcW w:w="3240" w:type="pct"/>
            <w:shd w:val="clear" w:color="auto" w:fill="FFFFFF" w:themeFill="background1"/>
            <w:vAlign w:val="center"/>
          </w:tcPr>
          <w:p w:rsidR="00D12655" w:rsidRPr="00E81DE1" w:rsidP="00134583" w14:paraId="51C3C105" w14:textId="49D3BB8F">
            <w:pPr>
              <w:pStyle w:val="Lists"/>
              <w:spacing w:before="60" w:after="60"/>
              <w:rPr>
                <w:sz w:val="22"/>
                <w:szCs w:val="22"/>
                <w:lang w:val="en-US"/>
              </w:rPr>
            </w:pPr>
            <w:r>
              <w:rPr>
                <w:b/>
                <w:bCs/>
                <w:sz w:val="22"/>
                <w:szCs w:val="22"/>
                <w:lang w:val="en-US"/>
              </w:rPr>
              <w:t>HIPAA Special Enrollment</w:t>
            </w:r>
            <w:r w:rsidR="00C466D2">
              <w:rPr>
                <w:b/>
                <w:bCs/>
                <w:sz w:val="22"/>
                <w:szCs w:val="22"/>
                <w:lang w:val="en-US"/>
              </w:rPr>
              <w:t xml:space="preserve">: </w:t>
            </w:r>
            <w:r w:rsidRPr="00E81DE1">
              <w:rPr>
                <w:sz w:val="22"/>
                <w:szCs w:val="22"/>
                <w:lang w:val="en-US"/>
              </w:rPr>
              <w:t>At or before enrollment,</w:t>
            </w:r>
            <w:r>
              <w:rPr>
                <w:sz w:val="22"/>
                <w:szCs w:val="22"/>
                <w:lang w:val="en-US"/>
              </w:rPr>
              <w:t xml:space="preserve"> a</w:t>
            </w:r>
            <w:r w:rsidRPr="00E81DE1">
              <w:rPr>
                <w:sz w:val="22"/>
                <w:szCs w:val="22"/>
                <w:lang w:val="en-US"/>
              </w:rPr>
              <w:t xml:space="preserve"> health plan must provide each eligible employee</w:t>
            </w:r>
            <w:r>
              <w:rPr>
                <w:sz w:val="22"/>
                <w:szCs w:val="22"/>
                <w:lang w:val="en-US"/>
              </w:rPr>
              <w:t xml:space="preserve"> </w:t>
            </w:r>
            <w:r w:rsidRPr="00E81DE1">
              <w:rPr>
                <w:sz w:val="22"/>
                <w:szCs w:val="22"/>
                <w:lang w:val="en-US"/>
              </w:rPr>
              <w:t>with a notice of their special enrollment rights under HIPAA.</w:t>
            </w:r>
            <w:r>
              <w:rPr>
                <w:sz w:val="22"/>
                <w:szCs w:val="22"/>
                <w:lang w:val="en-US"/>
              </w:rPr>
              <w:t xml:space="preserve"> </w:t>
            </w:r>
            <w:r w:rsidRPr="00E81DE1">
              <w:rPr>
                <w:sz w:val="22"/>
                <w:szCs w:val="22"/>
                <w:lang w:val="en-US"/>
              </w:rPr>
              <w:t>This notice is often included in the plan’s SPD or benefits</w:t>
            </w:r>
            <w:r>
              <w:rPr>
                <w:sz w:val="22"/>
                <w:szCs w:val="22"/>
                <w:lang w:val="en-US"/>
              </w:rPr>
              <w:t xml:space="preserve"> </w:t>
            </w:r>
            <w:r w:rsidRPr="00E81DE1">
              <w:rPr>
                <w:sz w:val="22"/>
                <w:szCs w:val="22"/>
                <w:lang w:val="en-US"/>
              </w:rPr>
              <w:t xml:space="preserve">booklet provided by the </w:t>
            </w:r>
            <w:r w:rsidR="00B77547">
              <w:rPr>
                <w:sz w:val="22"/>
                <w:szCs w:val="22"/>
                <w:lang w:val="en-US"/>
              </w:rPr>
              <w:t xml:space="preserve">plan’s </w:t>
            </w:r>
            <w:r w:rsidRPr="00E81DE1">
              <w:rPr>
                <w:sz w:val="22"/>
                <w:szCs w:val="22"/>
                <w:lang w:val="en-US"/>
              </w:rPr>
              <w:t>issuer or TPA</w:t>
            </w:r>
            <w:r>
              <w:rPr>
                <w:sz w:val="22"/>
                <w:szCs w:val="22"/>
                <w:lang w:val="en-US"/>
              </w:rPr>
              <w:t xml:space="preserve">. </w:t>
            </w:r>
          </w:p>
        </w:tc>
        <w:sdt>
          <w:sdtPr>
            <w:rPr>
              <w:sz w:val="28"/>
              <w:szCs w:val="28"/>
            </w:rPr>
            <w:id w:val="617410982"/>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5DD0B8C0" w14:textId="6E01D617">
                <w:pPr>
                  <w:jc w:val="center"/>
                  <w:rPr>
                    <w:sz w:val="28"/>
                    <w:szCs w:val="28"/>
                  </w:rPr>
                </w:pPr>
                <w:r>
                  <w:rPr>
                    <w:rFonts w:ascii="MS Gothic" w:eastAsia="MS Gothic" w:hAnsi="MS Gothic" w:hint="eastAsia"/>
                    <w:sz w:val="28"/>
                    <w:szCs w:val="28"/>
                  </w:rPr>
                  <w:t>☐</w:t>
                </w:r>
              </w:p>
            </w:tc>
          </w:sdtContent>
        </w:sdt>
        <w:sdt>
          <w:sdtPr>
            <w:rPr>
              <w:sz w:val="28"/>
              <w:szCs w:val="28"/>
            </w:rPr>
            <w:id w:val="-704174965"/>
            <w14:checkbox>
              <w14:checked w14:val="0"/>
              <w14:checkedState w14:val="2612" w14:font="MS Gothic"/>
              <w14:uncheckedState w14:val="2610" w14:font="MS Gothic"/>
            </w14:checkbox>
          </w:sdtPr>
          <w:sdtContent>
            <w:tc>
              <w:tcPr>
                <w:tcW w:w="880" w:type="pct"/>
                <w:vAlign w:val="center"/>
              </w:tcPr>
              <w:p w:rsidR="00D12655" w:rsidRPr="00A17F97" w:rsidP="00D12655" w14:paraId="2B4C9915" w14:textId="1587F23C">
                <w:pPr>
                  <w:jc w:val="center"/>
                  <w:rPr>
                    <w:sz w:val="28"/>
                    <w:szCs w:val="28"/>
                  </w:rPr>
                </w:pPr>
                <w:r>
                  <w:rPr>
                    <w:rFonts w:ascii="MS Gothic" w:eastAsia="MS Gothic" w:hAnsi="MS Gothic" w:hint="eastAsia"/>
                    <w:sz w:val="28"/>
                    <w:szCs w:val="28"/>
                  </w:rPr>
                  <w:t>☐</w:t>
                </w:r>
              </w:p>
            </w:tc>
          </w:sdtContent>
        </w:sdt>
      </w:tr>
      <w:tr w14:paraId="34BD6B0D" w14:textId="77777777" w:rsidTr="00FB205B">
        <w:tblPrEx>
          <w:tblW w:w="5000" w:type="pct"/>
          <w:tblLook w:val="01E0"/>
        </w:tblPrEx>
        <w:trPr>
          <w:trHeight w:val="403"/>
        </w:trPr>
        <w:tc>
          <w:tcPr>
            <w:tcW w:w="3240" w:type="pct"/>
            <w:shd w:val="clear" w:color="auto" w:fill="FFFFFF" w:themeFill="background1"/>
            <w:vAlign w:val="center"/>
          </w:tcPr>
          <w:p w:rsidR="00D12655" w:rsidRPr="00023EDC" w:rsidP="00134583" w14:paraId="59D11E9E" w14:textId="7AB35943">
            <w:pPr>
              <w:pStyle w:val="Lists"/>
              <w:spacing w:before="60" w:after="60"/>
              <w:rPr>
                <w:sz w:val="22"/>
                <w:szCs w:val="22"/>
                <w:lang w:val="en-US"/>
              </w:rPr>
            </w:pPr>
            <w:r>
              <w:rPr>
                <w:b/>
                <w:bCs/>
                <w:sz w:val="22"/>
                <w:szCs w:val="22"/>
                <w:lang w:val="en-US"/>
              </w:rPr>
              <w:t>Notice of Patient Protections</w:t>
            </w:r>
            <w:r w:rsidR="00B77547">
              <w:rPr>
                <w:b/>
                <w:bCs/>
                <w:sz w:val="22"/>
                <w:szCs w:val="22"/>
                <w:lang w:val="en-US"/>
              </w:rPr>
              <w:t xml:space="preserve">: </w:t>
            </w:r>
            <w:r w:rsidRPr="00B8177C">
              <w:rPr>
                <w:sz w:val="22"/>
                <w:szCs w:val="22"/>
                <w:lang w:val="en-US"/>
              </w:rPr>
              <w:t>If a health plan requires</w:t>
            </w:r>
            <w:r>
              <w:rPr>
                <w:sz w:val="22"/>
                <w:szCs w:val="22"/>
                <w:lang w:val="en-US"/>
              </w:rPr>
              <w:t xml:space="preserve"> </w:t>
            </w:r>
            <w:r w:rsidRPr="00B8177C">
              <w:rPr>
                <w:sz w:val="22"/>
                <w:szCs w:val="22"/>
                <w:lang w:val="en-US"/>
              </w:rPr>
              <w:t>participants to designate a participating primary care</w:t>
            </w:r>
            <w:r>
              <w:rPr>
                <w:sz w:val="22"/>
                <w:szCs w:val="22"/>
                <w:lang w:val="en-US"/>
              </w:rPr>
              <w:t xml:space="preserve"> </w:t>
            </w:r>
            <w:r w:rsidRPr="00B8177C">
              <w:rPr>
                <w:sz w:val="22"/>
                <w:szCs w:val="22"/>
                <w:lang w:val="en-US"/>
              </w:rPr>
              <w:t>provider, the plan must provide a notice of patient</w:t>
            </w:r>
            <w:r>
              <w:rPr>
                <w:sz w:val="22"/>
                <w:szCs w:val="22"/>
                <w:lang w:val="en-US"/>
              </w:rPr>
              <w:t xml:space="preserve"> </w:t>
            </w:r>
            <w:r w:rsidRPr="00B8177C">
              <w:rPr>
                <w:sz w:val="22"/>
                <w:szCs w:val="22"/>
                <w:lang w:val="en-US"/>
              </w:rPr>
              <w:t>protections whenever the SPD or similar description of</w:t>
            </w:r>
            <w:r>
              <w:rPr>
                <w:sz w:val="22"/>
                <w:szCs w:val="22"/>
                <w:lang w:val="en-US"/>
              </w:rPr>
              <w:t xml:space="preserve"> </w:t>
            </w:r>
            <w:r w:rsidRPr="00B8177C">
              <w:rPr>
                <w:sz w:val="22"/>
                <w:szCs w:val="22"/>
                <w:lang w:val="en-US"/>
              </w:rPr>
              <w:t>benefits is provided to a participant. This notice is often</w:t>
            </w:r>
            <w:r>
              <w:rPr>
                <w:sz w:val="22"/>
                <w:szCs w:val="22"/>
                <w:lang w:val="en-US"/>
              </w:rPr>
              <w:t xml:space="preserve"> </w:t>
            </w:r>
            <w:r w:rsidRPr="00B8177C">
              <w:rPr>
                <w:sz w:val="22"/>
                <w:szCs w:val="22"/>
                <w:lang w:val="en-US"/>
              </w:rPr>
              <w:t>included in the SPD or benefits booklet provided by the</w:t>
            </w:r>
            <w:r>
              <w:rPr>
                <w:sz w:val="22"/>
                <w:szCs w:val="22"/>
                <w:lang w:val="en-US"/>
              </w:rPr>
              <w:t xml:space="preserve"> </w:t>
            </w:r>
            <w:r w:rsidRPr="00B8177C">
              <w:rPr>
                <w:sz w:val="22"/>
                <w:szCs w:val="22"/>
                <w:lang w:val="en-US"/>
              </w:rPr>
              <w:t xml:space="preserve">issuer or TPA (or otherwise provided with enrollment materials). The DOL has a </w:t>
            </w:r>
            <w:hyperlink r:id="rId29" w:history="1">
              <w:r w:rsidRPr="00413954">
                <w:rPr>
                  <w:rStyle w:val="Hyperlink"/>
                  <w:sz w:val="22"/>
                  <w:szCs w:val="22"/>
                  <w:lang w:val="en-US"/>
                </w:rPr>
                <w:t>model notice</w:t>
              </w:r>
            </w:hyperlink>
            <w:r w:rsidRPr="00B8177C">
              <w:rPr>
                <w:sz w:val="22"/>
                <w:szCs w:val="22"/>
                <w:lang w:val="en-US"/>
              </w:rPr>
              <w:t xml:space="preserve"> for employers to use</w:t>
            </w:r>
            <w:r>
              <w:rPr>
                <w:sz w:val="22"/>
                <w:szCs w:val="22"/>
                <w:lang w:val="en-US"/>
              </w:rPr>
              <w:t xml:space="preserve">. </w:t>
            </w:r>
          </w:p>
        </w:tc>
        <w:sdt>
          <w:sdtPr>
            <w:rPr>
              <w:sz w:val="28"/>
              <w:szCs w:val="28"/>
            </w:rPr>
            <w:id w:val="871917"/>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46906FC9" w14:textId="45296C12">
                <w:pPr>
                  <w:jc w:val="center"/>
                  <w:rPr>
                    <w:sz w:val="28"/>
                    <w:szCs w:val="28"/>
                  </w:rPr>
                </w:pPr>
                <w:r>
                  <w:rPr>
                    <w:rFonts w:ascii="MS Gothic" w:eastAsia="MS Gothic" w:hAnsi="MS Gothic" w:hint="eastAsia"/>
                    <w:sz w:val="28"/>
                    <w:szCs w:val="28"/>
                  </w:rPr>
                  <w:t>☐</w:t>
                </w:r>
              </w:p>
            </w:tc>
          </w:sdtContent>
        </w:sdt>
        <w:sdt>
          <w:sdtPr>
            <w:rPr>
              <w:sz w:val="28"/>
              <w:szCs w:val="28"/>
            </w:rPr>
            <w:id w:val="-847870494"/>
            <w14:checkbox>
              <w14:checked w14:val="0"/>
              <w14:checkedState w14:val="2612" w14:font="MS Gothic"/>
              <w14:uncheckedState w14:val="2610" w14:font="MS Gothic"/>
            </w14:checkbox>
          </w:sdtPr>
          <w:sdtContent>
            <w:tc>
              <w:tcPr>
                <w:tcW w:w="880" w:type="pct"/>
                <w:vAlign w:val="center"/>
              </w:tcPr>
              <w:p w:rsidR="00D12655" w:rsidRPr="00A17F97" w:rsidP="00D12655" w14:paraId="2E1D4A70" w14:textId="6123D304">
                <w:pPr>
                  <w:jc w:val="center"/>
                  <w:rPr>
                    <w:sz w:val="28"/>
                    <w:szCs w:val="28"/>
                  </w:rPr>
                </w:pPr>
                <w:r>
                  <w:rPr>
                    <w:rFonts w:ascii="MS Gothic" w:eastAsia="MS Gothic" w:hAnsi="MS Gothic" w:hint="eastAsia"/>
                    <w:sz w:val="28"/>
                    <w:szCs w:val="28"/>
                  </w:rPr>
                  <w:t>☐</w:t>
                </w:r>
              </w:p>
            </w:tc>
          </w:sdtContent>
        </w:sdt>
      </w:tr>
      <w:tr w14:paraId="52769CDD" w14:textId="77777777" w:rsidTr="00187FF3">
        <w:tblPrEx>
          <w:tblW w:w="5000" w:type="pct"/>
          <w:tblLook w:val="01E0"/>
        </w:tblPrEx>
        <w:trPr>
          <w:trHeight w:val="403"/>
        </w:trPr>
        <w:tc>
          <w:tcPr>
            <w:tcW w:w="3240" w:type="pct"/>
            <w:shd w:val="clear" w:color="auto" w:fill="FFFFFF" w:themeFill="background1"/>
            <w:vAlign w:val="center"/>
          </w:tcPr>
          <w:p w:rsidR="00D12655" w:rsidRPr="00D93477" w:rsidP="00134583" w14:paraId="54FF6310" w14:textId="78507C9F">
            <w:pPr>
              <w:pStyle w:val="Lists"/>
              <w:spacing w:before="60" w:after="60"/>
              <w:rPr>
                <w:sz w:val="22"/>
                <w:szCs w:val="22"/>
                <w:lang w:val="en-US"/>
              </w:rPr>
            </w:pPr>
            <w:r>
              <w:rPr>
                <w:b/>
                <w:bCs/>
                <w:sz w:val="22"/>
                <w:szCs w:val="22"/>
                <w:lang w:val="en-US"/>
              </w:rPr>
              <w:t>WHCRA Notice</w:t>
            </w:r>
            <w:r w:rsidR="005F0FAF">
              <w:rPr>
                <w:b/>
                <w:bCs/>
                <w:sz w:val="22"/>
                <w:szCs w:val="22"/>
                <w:lang w:val="en-US"/>
              </w:rPr>
              <w:t xml:space="preserve">: </w:t>
            </w:r>
            <w:r>
              <w:rPr>
                <w:sz w:val="22"/>
                <w:szCs w:val="22"/>
                <w:lang w:val="en-US"/>
              </w:rPr>
              <w:t>H</w:t>
            </w:r>
            <w:r w:rsidRPr="005454CA">
              <w:rPr>
                <w:sz w:val="22"/>
                <w:szCs w:val="22"/>
                <w:lang w:val="en-US"/>
              </w:rPr>
              <w:t>ealth plans must provide a notice about the</w:t>
            </w:r>
            <w:r>
              <w:rPr>
                <w:sz w:val="22"/>
                <w:szCs w:val="22"/>
                <w:lang w:val="en-US"/>
              </w:rPr>
              <w:t xml:space="preserve"> </w:t>
            </w:r>
            <w:r w:rsidRPr="005454CA">
              <w:rPr>
                <w:sz w:val="22"/>
                <w:szCs w:val="22"/>
                <w:lang w:val="en-US"/>
              </w:rPr>
              <w:t>WHCRA’s coverage requirements at the time of enrollment</w:t>
            </w:r>
            <w:r>
              <w:rPr>
                <w:sz w:val="22"/>
                <w:szCs w:val="22"/>
                <w:lang w:val="en-US"/>
              </w:rPr>
              <w:t xml:space="preserve"> </w:t>
            </w:r>
            <w:r w:rsidRPr="005454CA">
              <w:rPr>
                <w:sz w:val="22"/>
                <w:szCs w:val="22"/>
                <w:lang w:val="en-US"/>
              </w:rPr>
              <w:t>and annually after enrollment. The annual WHCRA notice</w:t>
            </w:r>
            <w:r>
              <w:rPr>
                <w:sz w:val="22"/>
                <w:szCs w:val="22"/>
                <w:lang w:val="en-US"/>
              </w:rPr>
              <w:t xml:space="preserve"> </w:t>
            </w:r>
            <w:r w:rsidRPr="005454CA">
              <w:rPr>
                <w:sz w:val="22"/>
                <w:szCs w:val="22"/>
                <w:lang w:val="en-US"/>
              </w:rPr>
              <w:t xml:space="preserve">can be </w:t>
            </w:r>
            <w:r w:rsidRPr="005454CA">
              <w:rPr>
                <w:sz w:val="22"/>
                <w:szCs w:val="22"/>
                <w:lang w:val="en-US"/>
              </w:rPr>
              <w:t>provided at any time during the year, but it is often</w:t>
            </w:r>
            <w:r>
              <w:rPr>
                <w:sz w:val="22"/>
                <w:szCs w:val="22"/>
                <w:lang w:val="en-US"/>
              </w:rPr>
              <w:t xml:space="preserve"> </w:t>
            </w:r>
            <w:r w:rsidRPr="005454CA">
              <w:rPr>
                <w:sz w:val="22"/>
                <w:szCs w:val="22"/>
                <w:lang w:val="en-US"/>
              </w:rPr>
              <w:t>included with the plan’s open enrollment materials. Model language</w:t>
            </w:r>
            <w:r>
              <w:rPr>
                <w:sz w:val="22"/>
                <w:szCs w:val="22"/>
                <w:lang w:val="en-US"/>
              </w:rPr>
              <w:t xml:space="preserve"> </w:t>
            </w:r>
            <w:r w:rsidRPr="005454CA">
              <w:rPr>
                <w:sz w:val="22"/>
                <w:szCs w:val="22"/>
                <w:lang w:val="en-US"/>
              </w:rPr>
              <w:t xml:space="preserve">is available in the DOL’s </w:t>
            </w:r>
            <w:hyperlink r:id="rId30" w:history="1">
              <w:r w:rsidRPr="004647D7">
                <w:rPr>
                  <w:rStyle w:val="Hyperlink"/>
                  <w:sz w:val="22"/>
                  <w:szCs w:val="22"/>
                  <w:lang w:val="en-US"/>
                </w:rPr>
                <w:t>model notice guide</w:t>
              </w:r>
            </w:hyperlink>
            <w:r>
              <w:rPr>
                <w:sz w:val="22"/>
                <w:szCs w:val="22"/>
                <w:lang w:val="en-US"/>
              </w:rPr>
              <w:t xml:space="preserve">. </w:t>
            </w:r>
          </w:p>
        </w:tc>
        <w:sdt>
          <w:sdtPr>
            <w:rPr>
              <w:sz w:val="28"/>
              <w:szCs w:val="28"/>
            </w:rPr>
            <w:id w:val="-969054533"/>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6488488F" w14:textId="54FED232">
                <w:pPr>
                  <w:jc w:val="center"/>
                  <w:rPr>
                    <w:sz w:val="28"/>
                    <w:szCs w:val="28"/>
                  </w:rPr>
                </w:pPr>
                <w:r>
                  <w:rPr>
                    <w:rFonts w:ascii="MS Gothic" w:eastAsia="MS Gothic" w:hAnsi="MS Gothic" w:hint="eastAsia"/>
                    <w:sz w:val="28"/>
                    <w:szCs w:val="28"/>
                  </w:rPr>
                  <w:t>☐</w:t>
                </w:r>
              </w:p>
            </w:tc>
          </w:sdtContent>
        </w:sdt>
        <w:sdt>
          <w:sdtPr>
            <w:rPr>
              <w:sz w:val="28"/>
              <w:szCs w:val="28"/>
            </w:rPr>
            <w:id w:val="1758395569"/>
            <w14:checkbox>
              <w14:checked w14:val="0"/>
              <w14:checkedState w14:val="2612" w14:font="MS Gothic"/>
              <w14:uncheckedState w14:val="2610" w14:font="MS Gothic"/>
            </w14:checkbox>
          </w:sdtPr>
          <w:sdtContent>
            <w:tc>
              <w:tcPr>
                <w:tcW w:w="880" w:type="pct"/>
                <w:vAlign w:val="center"/>
              </w:tcPr>
              <w:p w:rsidR="00D12655" w:rsidRPr="00A17F97" w:rsidP="00D12655" w14:paraId="5B54776E" w14:textId="53B5E9A1">
                <w:pPr>
                  <w:jc w:val="center"/>
                  <w:rPr>
                    <w:sz w:val="28"/>
                    <w:szCs w:val="28"/>
                  </w:rPr>
                </w:pPr>
                <w:r>
                  <w:rPr>
                    <w:rFonts w:ascii="MS Gothic" w:eastAsia="MS Gothic" w:hAnsi="MS Gothic" w:hint="eastAsia"/>
                    <w:sz w:val="28"/>
                    <w:szCs w:val="28"/>
                  </w:rPr>
                  <w:t>☐</w:t>
                </w:r>
              </w:p>
            </w:tc>
          </w:sdtContent>
        </w:sdt>
      </w:tr>
      <w:tr w14:paraId="4DDCE4A6" w14:textId="77777777" w:rsidTr="00187FF3">
        <w:tblPrEx>
          <w:tblW w:w="5000" w:type="pct"/>
          <w:tblLook w:val="01E0"/>
        </w:tblPrEx>
        <w:trPr>
          <w:trHeight w:val="403"/>
        </w:trPr>
        <w:tc>
          <w:tcPr>
            <w:tcW w:w="3240" w:type="pct"/>
            <w:shd w:val="clear" w:color="auto" w:fill="FFFFFF" w:themeFill="background1"/>
            <w:vAlign w:val="center"/>
          </w:tcPr>
          <w:p w:rsidR="00D12655" w:rsidRPr="004A713D" w:rsidP="00134583" w14:paraId="12AC3A26" w14:textId="708845F3">
            <w:pPr>
              <w:pStyle w:val="Lists"/>
              <w:spacing w:before="60" w:after="60"/>
              <w:rPr>
                <w:sz w:val="22"/>
                <w:szCs w:val="22"/>
                <w:lang w:val="en-US"/>
              </w:rPr>
            </w:pPr>
            <w:r>
              <w:rPr>
                <w:b/>
                <w:bCs/>
                <w:sz w:val="22"/>
                <w:szCs w:val="22"/>
                <w:lang w:val="en-US"/>
              </w:rPr>
              <w:t>Summary Annual Report (SAR)</w:t>
            </w:r>
            <w:r w:rsidR="005F0FAF">
              <w:rPr>
                <w:b/>
                <w:bCs/>
                <w:sz w:val="22"/>
                <w:szCs w:val="22"/>
                <w:lang w:val="en-US"/>
              </w:rPr>
              <w:t xml:space="preserve">: </w:t>
            </w:r>
            <w:r w:rsidRPr="004A713D">
              <w:rPr>
                <w:sz w:val="22"/>
                <w:szCs w:val="22"/>
                <w:lang w:val="en-US"/>
              </w:rPr>
              <w:t>Health plans</w:t>
            </w:r>
            <w:r>
              <w:rPr>
                <w:sz w:val="22"/>
                <w:szCs w:val="22"/>
                <w:lang w:val="en-US"/>
              </w:rPr>
              <w:t xml:space="preserve"> that are subject to the Form 5500 filing requirement must provide a SAR </w:t>
            </w:r>
            <w:r w:rsidRPr="007D4EF0">
              <w:rPr>
                <w:sz w:val="22"/>
                <w:szCs w:val="22"/>
                <w:lang w:val="en-US"/>
              </w:rPr>
              <w:t>within nine months after the end of the plan year. If the deadline for filing the Form 5500 was extended, the SAR must be provided within two months after the end of the extension period. Plans that are exempt from the Form 5500 filing requirement are not required to provide the SAR. Unfunded welfare plans, regardless of size, are also generally exempt from the SAR requirement.</w:t>
            </w:r>
          </w:p>
        </w:tc>
        <w:sdt>
          <w:sdtPr>
            <w:rPr>
              <w:sz w:val="28"/>
              <w:szCs w:val="28"/>
            </w:rPr>
            <w:id w:val="-1032883880"/>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743F704F" w14:textId="1EC7A807">
                <w:pPr>
                  <w:jc w:val="center"/>
                  <w:rPr>
                    <w:sz w:val="28"/>
                    <w:szCs w:val="28"/>
                  </w:rPr>
                </w:pPr>
                <w:r>
                  <w:rPr>
                    <w:rFonts w:ascii="MS Gothic" w:eastAsia="MS Gothic" w:hAnsi="MS Gothic" w:hint="eastAsia"/>
                    <w:sz w:val="28"/>
                    <w:szCs w:val="28"/>
                  </w:rPr>
                  <w:t>☐</w:t>
                </w:r>
              </w:p>
            </w:tc>
          </w:sdtContent>
        </w:sdt>
        <w:sdt>
          <w:sdtPr>
            <w:rPr>
              <w:sz w:val="28"/>
              <w:szCs w:val="28"/>
            </w:rPr>
            <w:id w:val="-1895491703"/>
            <w14:checkbox>
              <w14:checked w14:val="0"/>
              <w14:checkedState w14:val="2612" w14:font="MS Gothic"/>
              <w14:uncheckedState w14:val="2610" w14:font="MS Gothic"/>
            </w14:checkbox>
          </w:sdtPr>
          <w:sdtContent>
            <w:tc>
              <w:tcPr>
                <w:tcW w:w="880" w:type="pct"/>
                <w:vAlign w:val="center"/>
              </w:tcPr>
              <w:p w:rsidR="00D12655" w:rsidRPr="00A17F97" w:rsidP="00D12655" w14:paraId="40C482DB" w14:textId="09939273">
                <w:pPr>
                  <w:jc w:val="center"/>
                  <w:rPr>
                    <w:sz w:val="28"/>
                    <w:szCs w:val="28"/>
                  </w:rPr>
                </w:pPr>
                <w:r>
                  <w:rPr>
                    <w:rFonts w:ascii="MS Gothic" w:eastAsia="MS Gothic" w:hAnsi="MS Gothic" w:hint="eastAsia"/>
                    <w:sz w:val="28"/>
                    <w:szCs w:val="28"/>
                  </w:rPr>
                  <w:t>☐</w:t>
                </w:r>
              </w:p>
            </w:tc>
          </w:sdtContent>
        </w:sdt>
      </w:tr>
      <w:tr w14:paraId="7F286DD4" w14:textId="77777777" w:rsidTr="00203956">
        <w:tblPrEx>
          <w:tblW w:w="5000" w:type="pct"/>
          <w:tblLook w:val="01E0"/>
        </w:tblPrEx>
        <w:trPr>
          <w:trHeight w:val="403"/>
        </w:trPr>
        <w:tc>
          <w:tcPr>
            <w:tcW w:w="3240" w:type="pct"/>
            <w:shd w:val="clear" w:color="auto" w:fill="FFFFFF" w:themeFill="background1"/>
            <w:vAlign w:val="center"/>
          </w:tcPr>
          <w:p w:rsidR="0033379E" w:rsidRPr="00EC3176" w:rsidP="00134583" w14:paraId="251C480B" w14:textId="5A2A438A">
            <w:pPr>
              <w:pStyle w:val="Lists"/>
              <w:spacing w:before="60" w:after="60"/>
              <w:rPr>
                <w:sz w:val="22"/>
                <w:szCs w:val="22"/>
                <w:lang w:val="en-US"/>
              </w:rPr>
            </w:pPr>
            <w:r>
              <w:rPr>
                <w:b/>
                <w:bCs/>
                <w:sz w:val="22"/>
                <w:szCs w:val="22"/>
                <w:lang w:val="en-US"/>
              </w:rPr>
              <w:t>Price Comparison Tool</w:t>
            </w:r>
            <w:r w:rsidR="0094503A">
              <w:rPr>
                <w:b/>
                <w:bCs/>
                <w:sz w:val="22"/>
                <w:szCs w:val="22"/>
                <w:lang w:val="en-US"/>
              </w:rPr>
              <w:t xml:space="preserve">: </w:t>
            </w:r>
            <w:r w:rsidRPr="00BA72C4">
              <w:rPr>
                <w:sz w:val="22"/>
                <w:szCs w:val="22"/>
                <w:lang w:val="en-US"/>
              </w:rPr>
              <w:t>Health plans must make an internet-based price comparison tool available to participants, beneficiaries and enrollees. The purpose of this tool is to provide consumers with real-time estimates of their cost-sharing liability from different providers for covered items and services, including prescription drugs, so</w:t>
            </w:r>
            <w:r w:rsidRPr="00BA72C4">
              <w:rPr>
                <w:b/>
                <w:bCs/>
                <w:sz w:val="22"/>
                <w:szCs w:val="22"/>
                <w:lang w:val="en-US"/>
              </w:rPr>
              <w:t xml:space="preserve"> </w:t>
            </w:r>
            <w:r w:rsidRPr="00BA72C4">
              <w:rPr>
                <w:sz w:val="22"/>
                <w:szCs w:val="22"/>
                <w:lang w:val="en-US"/>
              </w:rPr>
              <w:t xml:space="preserve">they can shop and compare prices before receiving care. </w:t>
            </w:r>
            <w:r w:rsidRPr="00EC3176">
              <w:rPr>
                <w:sz w:val="22"/>
                <w:szCs w:val="22"/>
                <w:lang w:val="en-US"/>
              </w:rPr>
              <w:t xml:space="preserve">Most employers rely on their </w:t>
            </w:r>
            <w:r w:rsidR="00C404A1">
              <w:rPr>
                <w:sz w:val="22"/>
                <w:szCs w:val="22"/>
                <w:lang w:val="en-US"/>
              </w:rPr>
              <w:t>i</w:t>
            </w:r>
            <w:r w:rsidRPr="00EC3176">
              <w:rPr>
                <w:sz w:val="22"/>
                <w:szCs w:val="22"/>
                <w:lang w:val="en-US"/>
              </w:rPr>
              <w:t xml:space="preserve">ssuers or </w:t>
            </w:r>
            <w:r w:rsidR="00C404A1">
              <w:rPr>
                <w:sz w:val="22"/>
                <w:szCs w:val="22"/>
                <w:lang w:val="en-US"/>
              </w:rPr>
              <w:t xml:space="preserve">TPAs </w:t>
            </w:r>
            <w:r w:rsidRPr="00EC3176">
              <w:rPr>
                <w:sz w:val="22"/>
                <w:szCs w:val="22"/>
                <w:lang w:val="en-US"/>
              </w:rPr>
              <w:t>to develop and maintain the price comparison too</w:t>
            </w:r>
            <w:r w:rsidR="00DD6BE0">
              <w:rPr>
                <w:sz w:val="22"/>
                <w:szCs w:val="22"/>
                <w:lang w:val="en-US"/>
              </w:rPr>
              <w:t>l.</w:t>
            </w:r>
            <w:r w:rsidR="00127DA4">
              <w:rPr>
                <w:sz w:val="22"/>
                <w:szCs w:val="22"/>
                <w:lang w:val="en-US"/>
              </w:rPr>
              <w:t xml:space="preserve"> Employers should ensure this responsibility is </w:t>
            </w:r>
            <w:r w:rsidR="00684774">
              <w:rPr>
                <w:sz w:val="22"/>
                <w:szCs w:val="22"/>
                <w:lang w:val="en-US"/>
              </w:rPr>
              <w:t xml:space="preserve">detailed in a written agreement with the third party. </w:t>
            </w:r>
          </w:p>
        </w:tc>
        <w:sdt>
          <w:sdtPr>
            <w:rPr>
              <w:sz w:val="28"/>
              <w:szCs w:val="28"/>
            </w:rPr>
            <w:id w:val="-819658885"/>
            <w14:checkbox>
              <w14:checked w14:val="0"/>
              <w14:checkedState w14:val="2612" w14:font="MS Gothic"/>
              <w14:uncheckedState w14:val="2610" w14:font="MS Gothic"/>
            </w14:checkbox>
          </w:sdtPr>
          <w:sdtContent>
            <w:tc>
              <w:tcPr>
                <w:tcW w:w="880" w:type="pct"/>
                <w:shd w:val="clear" w:color="auto" w:fill="FFFFFF" w:themeFill="background1"/>
                <w:vAlign w:val="center"/>
              </w:tcPr>
              <w:p w:rsidR="0033379E" w:rsidRPr="00A17F97" w:rsidP="0033379E" w14:paraId="4904A523" w14:textId="62DB9F0C">
                <w:pPr>
                  <w:jc w:val="center"/>
                  <w:rPr>
                    <w:sz w:val="28"/>
                    <w:szCs w:val="28"/>
                  </w:rPr>
                </w:pPr>
                <w:r>
                  <w:rPr>
                    <w:rFonts w:ascii="MS Gothic" w:eastAsia="MS Gothic" w:hAnsi="MS Gothic" w:hint="eastAsia"/>
                    <w:sz w:val="28"/>
                    <w:szCs w:val="28"/>
                  </w:rPr>
                  <w:t>☐</w:t>
                </w:r>
              </w:p>
            </w:tc>
          </w:sdtContent>
        </w:sdt>
        <w:sdt>
          <w:sdtPr>
            <w:rPr>
              <w:sz w:val="28"/>
              <w:szCs w:val="28"/>
            </w:rPr>
            <w:id w:val="-1845388741"/>
            <w14:checkbox>
              <w14:checked w14:val="0"/>
              <w14:checkedState w14:val="2612" w14:font="MS Gothic"/>
              <w14:uncheckedState w14:val="2610" w14:font="MS Gothic"/>
            </w14:checkbox>
          </w:sdtPr>
          <w:sdtContent>
            <w:tc>
              <w:tcPr>
                <w:tcW w:w="880" w:type="pct"/>
                <w:vAlign w:val="center"/>
              </w:tcPr>
              <w:p w:rsidR="0033379E" w:rsidRPr="00A17F97" w:rsidP="0033379E" w14:paraId="52401312" w14:textId="2018B7C1">
                <w:pPr>
                  <w:jc w:val="center"/>
                  <w:rPr>
                    <w:sz w:val="28"/>
                    <w:szCs w:val="28"/>
                  </w:rPr>
                </w:pPr>
                <w:r>
                  <w:rPr>
                    <w:rFonts w:ascii="MS Gothic" w:eastAsia="MS Gothic" w:hAnsi="MS Gothic" w:hint="eastAsia"/>
                    <w:sz w:val="28"/>
                    <w:szCs w:val="28"/>
                  </w:rPr>
                  <w:t>☐</w:t>
                </w:r>
              </w:p>
            </w:tc>
          </w:sdtContent>
        </w:sdt>
      </w:tr>
      <w:tr w14:paraId="5D2F0757" w14:textId="77777777" w:rsidTr="00203956">
        <w:tblPrEx>
          <w:tblW w:w="5000" w:type="pct"/>
          <w:tblLook w:val="01E0"/>
        </w:tblPrEx>
        <w:trPr>
          <w:trHeight w:val="403"/>
        </w:trPr>
        <w:tc>
          <w:tcPr>
            <w:tcW w:w="3240" w:type="pct"/>
            <w:shd w:val="clear" w:color="auto" w:fill="FFFFFF" w:themeFill="background1"/>
            <w:vAlign w:val="center"/>
          </w:tcPr>
          <w:p w:rsidR="0033379E" w:rsidRPr="005C2EDE" w:rsidP="00134583" w14:paraId="037B5437" w14:textId="507DDB3C">
            <w:pPr>
              <w:pStyle w:val="Lists"/>
              <w:spacing w:before="60" w:after="60"/>
              <w:rPr>
                <w:sz w:val="22"/>
                <w:szCs w:val="22"/>
                <w:lang w:val="en-US"/>
              </w:rPr>
            </w:pPr>
            <w:r>
              <w:rPr>
                <w:b/>
                <w:bCs/>
                <w:sz w:val="22"/>
                <w:szCs w:val="22"/>
                <w:lang w:val="en-US"/>
              </w:rPr>
              <w:t>Machine-readable Files (MRFs)</w:t>
            </w:r>
            <w:r w:rsidR="00DD6BE0">
              <w:rPr>
                <w:b/>
                <w:bCs/>
                <w:sz w:val="22"/>
                <w:szCs w:val="22"/>
                <w:lang w:val="en-US"/>
              </w:rPr>
              <w:t xml:space="preserve">: </w:t>
            </w:r>
            <w:r>
              <w:rPr>
                <w:sz w:val="22"/>
                <w:szCs w:val="22"/>
                <w:lang w:val="en-US"/>
              </w:rPr>
              <w:t>H</w:t>
            </w:r>
            <w:r w:rsidRPr="005C2EDE">
              <w:rPr>
                <w:sz w:val="22"/>
                <w:szCs w:val="22"/>
                <w:lang w:val="en-US"/>
              </w:rPr>
              <w:t xml:space="preserve">ealth plans </w:t>
            </w:r>
            <w:r>
              <w:rPr>
                <w:sz w:val="22"/>
                <w:szCs w:val="22"/>
                <w:lang w:val="en-US"/>
              </w:rPr>
              <w:t xml:space="preserve">must </w:t>
            </w:r>
            <w:r w:rsidRPr="005C2EDE">
              <w:rPr>
                <w:sz w:val="22"/>
                <w:szCs w:val="22"/>
                <w:lang w:val="en-US"/>
              </w:rPr>
              <w:t xml:space="preserve">disclose on a public website detailed pricing information in </w:t>
            </w:r>
            <w:r>
              <w:rPr>
                <w:sz w:val="22"/>
                <w:szCs w:val="22"/>
                <w:lang w:val="en-US"/>
              </w:rPr>
              <w:t>MRFs</w:t>
            </w:r>
            <w:r w:rsidRPr="005C2EDE">
              <w:rPr>
                <w:sz w:val="22"/>
                <w:szCs w:val="22"/>
                <w:lang w:val="en-US"/>
              </w:rPr>
              <w:t xml:space="preserve">. The files must be publicly available and accessible free of charge without any restrictions. Most employers rely on their </w:t>
            </w:r>
            <w:r w:rsidR="0074605D">
              <w:rPr>
                <w:sz w:val="22"/>
                <w:szCs w:val="22"/>
                <w:lang w:val="en-US"/>
              </w:rPr>
              <w:t>issuers, TPAs</w:t>
            </w:r>
            <w:r w:rsidR="004A7EC7">
              <w:rPr>
                <w:sz w:val="22"/>
                <w:szCs w:val="22"/>
                <w:lang w:val="en-US"/>
              </w:rPr>
              <w:t xml:space="preserve"> or other service providers to</w:t>
            </w:r>
            <w:r w:rsidRPr="005C2EDE">
              <w:rPr>
                <w:sz w:val="22"/>
                <w:szCs w:val="22"/>
                <w:lang w:val="en-US"/>
              </w:rPr>
              <w:t xml:space="preserve"> provide the </w:t>
            </w:r>
            <w:r w:rsidRPr="005C2EDE" w:rsidR="00CC6964">
              <w:rPr>
                <w:sz w:val="22"/>
                <w:szCs w:val="22"/>
                <w:lang w:val="en-US"/>
              </w:rPr>
              <w:t>MR</w:t>
            </w:r>
            <w:r w:rsidR="00CC6964">
              <w:rPr>
                <w:sz w:val="22"/>
                <w:szCs w:val="22"/>
                <w:lang w:val="en-US"/>
              </w:rPr>
              <w:t>F</w:t>
            </w:r>
            <w:r w:rsidRPr="005C2EDE" w:rsidR="00CC6964">
              <w:rPr>
                <w:sz w:val="22"/>
                <w:szCs w:val="22"/>
                <w:lang w:val="en-US"/>
              </w:rPr>
              <w:t>s</w:t>
            </w:r>
            <w:r w:rsidRPr="005C2EDE">
              <w:rPr>
                <w:sz w:val="22"/>
                <w:szCs w:val="22"/>
                <w:lang w:val="en-US"/>
              </w:rPr>
              <w:t>.</w:t>
            </w:r>
            <w:r w:rsidR="00153A16">
              <w:rPr>
                <w:sz w:val="22"/>
                <w:szCs w:val="22"/>
                <w:lang w:val="en-US"/>
              </w:rPr>
              <w:t xml:space="preserve"> Employers should ensure this responsibility is </w:t>
            </w:r>
            <w:r w:rsidR="00684774">
              <w:rPr>
                <w:sz w:val="22"/>
                <w:szCs w:val="22"/>
                <w:lang w:val="en-US"/>
              </w:rPr>
              <w:t xml:space="preserve">detailed in a </w:t>
            </w:r>
            <w:r w:rsidR="00153A16">
              <w:rPr>
                <w:sz w:val="22"/>
                <w:szCs w:val="22"/>
                <w:lang w:val="en-US"/>
              </w:rPr>
              <w:t>written agreement</w:t>
            </w:r>
            <w:r w:rsidR="00684774">
              <w:rPr>
                <w:sz w:val="22"/>
                <w:szCs w:val="22"/>
                <w:lang w:val="en-US"/>
              </w:rPr>
              <w:t xml:space="preserve"> with the third party</w:t>
            </w:r>
            <w:r w:rsidR="00153A16">
              <w:rPr>
                <w:sz w:val="22"/>
                <w:szCs w:val="22"/>
                <w:lang w:val="en-US"/>
              </w:rPr>
              <w:t xml:space="preserve">. </w:t>
            </w:r>
          </w:p>
        </w:tc>
        <w:sdt>
          <w:sdtPr>
            <w:rPr>
              <w:sz w:val="28"/>
              <w:szCs w:val="28"/>
            </w:rPr>
            <w:id w:val="-21784884"/>
            <w14:checkbox>
              <w14:checked w14:val="0"/>
              <w14:checkedState w14:val="2612" w14:font="MS Gothic"/>
              <w14:uncheckedState w14:val="2610" w14:font="MS Gothic"/>
            </w14:checkbox>
          </w:sdtPr>
          <w:sdtContent>
            <w:tc>
              <w:tcPr>
                <w:tcW w:w="880" w:type="pct"/>
                <w:shd w:val="clear" w:color="auto" w:fill="FFFFFF" w:themeFill="background1"/>
                <w:vAlign w:val="center"/>
              </w:tcPr>
              <w:p w:rsidR="0033379E" w:rsidRPr="00A17F97" w:rsidP="0033379E" w14:paraId="2D5A6E31" w14:textId="035E72DB">
                <w:pPr>
                  <w:jc w:val="center"/>
                  <w:rPr>
                    <w:sz w:val="28"/>
                    <w:szCs w:val="28"/>
                  </w:rPr>
                </w:pPr>
                <w:r>
                  <w:rPr>
                    <w:rFonts w:ascii="MS Gothic" w:eastAsia="MS Gothic" w:hAnsi="MS Gothic" w:hint="eastAsia"/>
                    <w:sz w:val="28"/>
                    <w:szCs w:val="28"/>
                  </w:rPr>
                  <w:t>☐</w:t>
                </w:r>
              </w:p>
            </w:tc>
          </w:sdtContent>
        </w:sdt>
        <w:sdt>
          <w:sdtPr>
            <w:rPr>
              <w:sz w:val="28"/>
              <w:szCs w:val="28"/>
            </w:rPr>
            <w:id w:val="1727726699"/>
            <w14:checkbox>
              <w14:checked w14:val="0"/>
              <w14:checkedState w14:val="2612" w14:font="MS Gothic"/>
              <w14:uncheckedState w14:val="2610" w14:font="MS Gothic"/>
            </w14:checkbox>
          </w:sdtPr>
          <w:sdtContent>
            <w:tc>
              <w:tcPr>
                <w:tcW w:w="880" w:type="pct"/>
                <w:vAlign w:val="center"/>
              </w:tcPr>
              <w:p w:rsidR="0033379E" w:rsidRPr="00A17F97" w:rsidP="0033379E" w14:paraId="014207B9" w14:textId="15EA8B53">
                <w:pPr>
                  <w:jc w:val="center"/>
                  <w:rPr>
                    <w:sz w:val="28"/>
                    <w:szCs w:val="28"/>
                  </w:rPr>
                </w:pPr>
                <w:r>
                  <w:rPr>
                    <w:rFonts w:ascii="MS Gothic" w:eastAsia="MS Gothic" w:hAnsi="MS Gothic" w:hint="eastAsia"/>
                    <w:sz w:val="28"/>
                    <w:szCs w:val="28"/>
                  </w:rPr>
                  <w:t>☐</w:t>
                </w:r>
              </w:p>
            </w:tc>
          </w:sdtContent>
        </w:sdt>
      </w:tr>
      <w:tr w14:paraId="1DEF9497" w14:textId="77777777" w:rsidTr="00203956">
        <w:tblPrEx>
          <w:tblW w:w="5000" w:type="pct"/>
          <w:tblLook w:val="01E0"/>
        </w:tblPrEx>
        <w:trPr>
          <w:trHeight w:val="403"/>
        </w:trPr>
        <w:tc>
          <w:tcPr>
            <w:tcW w:w="3240" w:type="pct"/>
            <w:shd w:val="clear" w:color="auto" w:fill="FFFFFF" w:themeFill="background1"/>
            <w:vAlign w:val="center"/>
          </w:tcPr>
          <w:p w:rsidR="0033379E" w:rsidRPr="004647D7" w:rsidP="00134583" w14:paraId="19F63211" w14:textId="0D2CF7A1">
            <w:pPr>
              <w:pStyle w:val="Lists"/>
              <w:spacing w:before="60" w:after="60"/>
              <w:rPr>
                <w:sz w:val="22"/>
                <w:szCs w:val="22"/>
                <w:lang w:val="en-US"/>
              </w:rPr>
            </w:pPr>
            <w:r>
              <w:rPr>
                <w:b/>
                <w:bCs/>
                <w:sz w:val="22"/>
                <w:szCs w:val="22"/>
                <w:lang w:val="en-US"/>
              </w:rPr>
              <w:t>Grandfathered Plan Notice</w:t>
            </w:r>
            <w:r w:rsidR="00CB16C1">
              <w:rPr>
                <w:b/>
                <w:bCs/>
                <w:sz w:val="22"/>
                <w:szCs w:val="22"/>
                <w:lang w:val="en-US"/>
              </w:rPr>
              <w:t xml:space="preserve">: </w:t>
            </w:r>
            <w:r>
              <w:rPr>
                <w:sz w:val="22"/>
                <w:szCs w:val="22"/>
                <w:lang w:val="en-US"/>
              </w:rPr>
              <w:t xml:space="preserve">Employers </w:t>
            </w:r>
            <w:r w:rsidRPr="00733504">
              <w:rPr>
                <w:sz w:val="22"/>
                <w:szCs w:val="22"/>
                <w:lang w:val="en-US"/>
              </w:rPr>
              <w:t xml:space="preserve">with </w:t>
            </w:r>
            <w:r>
              <w:rPr>
                <w:sz w:val="22"/>
                <w:szCs w:val="22"/>
                <w:lang w:val="en-US"/>
              </w:rPr>
              <w:t xml:space="preserve">health plans that have grandfathered status under the ACA </w:t>
            </w:r>
            <w:r w:rsidRPr="00733504">
              <w:rPr>
                <w:sz w:val="22"/>
                <w:szCs w:val="22"/>
                <w:lang w:val="en-US"/>
              </w:rPr>
              <w:t>must include a statement of the plan’s</w:t>
            </w:r>
            <w:r>
              <w:rPr>
                <w:sz w:val="22"/>
                <w:szCs w:val="22"/>
                <w:lang w:val="en-US"/>
              </w:rPr>
              <w:t xml:space="preserve"> </w:t>
            </w:r>
            <w:r w:rsidRPr="00733504">
              <w:rPr>
                <w:sz w:val="22"/>
                <w:szCs w:val="22"/>
                <w:lang w:val="en-US"/>
              </w:rPr>
              <w:t xml:space="preserve">grandfathered status in plan materials provided to participants describing the plan’s benefits (such as open enrollment materials). The DOL has a </w:t>
            </w:r>
            <w:hyperlink r:id="rId31" w:history="1">
              <w:r w:rsidRPr="00D36173">
                <w:rPr>
                  <w:rStyle w:val="Hyperlink"/>
                  <w:sz w:val="22"/>
                  <w:szCs w:val="22"/>
                  <w:lang w:val="en-US"/>
                </w:rPr>
                <w:t>model notice</w:t>
              </w:r>
            </w:hyperlink>
            <w:r w:rsidRPr="00733504">
              <w:rPr>
                <w:sz w:val="22"/>
                <w:szCs w:val="22"/>
                <w:lang w:val="en-US"/>
              </w:rPr>
              <w:t xml:space="preserve"> for employers</w:t>
            </w:r>
            <w:r>
              <w:rPr>
                <w:sz w:val="22"/>
                <w:szCs w:val="22"/>
                <w:lang w:val="en-US"/>
              </w:rPr>
              <w:t xml:space="preserve"> </w:t>
            </w:r>
            <w:r w:rsidRPr="00733504">
              <w:rPr>
                <w:sz w:val="22"/>
                <w:szCs w:val="22"/>
                <w:lang w:val="en-US"/>
              </w:rPr>
              <w:t>to use.</w:t>
            </w:r>
          </w:p>
        </w:tc>
        <w:sdt>
          <w:sdtPr>
            <w:rPr>
              <w:sz w:val="28"/>
              <w:szCs w:val="28"/>
            </w:rPr>
            <w:id w:val="1578556450"/>
            <w14:checkbox>
              <w14:checked w14:val="0"/>
              <w14:checkedState w14:val="2612" w14:font="MS Gothic"/>
              <w14:uncheckedState w14:val="2610" w14:font="MS Gothic"/>
            </w14:checkbox>
          </w:sdtPr>
          <w:sdtContent>
            <w:tc>
              <w:tcPr>
                <w:tcW w:w="880" w:type="pct"/>
                <w:shd w:val="clear" w:color="auto" w:fill="FFFFFF" w:themeFill="background1"/>
                <w:vAlign w:val="center"/>
              </w:tcPr>
              <w:p w:rsidR="0033379E" w:rsidRPr="00A17F97" w:rsidP="0033379E" w14:paraId="14EB6815" w14:textId="50EE81B1">
                <w:pPr>
                  <w:jc w:val="center"/>
                  <w:rPr>
                    <w:sz w:val="28"/>
                    <w:szCs w:val="28"/>
                  </w:rPr>
                </w:pPr>
                <w:r>
                  <w:rPr>
                    <w:rFonts w:ascii="MS Gothic" w:eastAsia="MS Gothic" w:hAnsi="MS Gothic" w:hint="eastAsia"/>
                    <w:sz w:val="28"/>
                    <w:szCs w:val="28"/>
                  </w:rPr>
                  <w:t>☐</w:t>
                </w:r>
              </w:p>
            </w:tc>
          </w:sdtContent>
        </w:sdt>
        <w:sdt>
          <w:sdtPr>
            <w:rPr>
              <w:sz w:val="28"/>
              <w:szCs w:val="28"/>
            </w:rPr>
            <w:id w:val="1807898972"/>
            <w14:checkbox>
              <w14:checked w14:val="0"/>
              <w14:checkedState w14:val="2612" w14:font="MS Gothic"/>
              <w14:uncheckedState w14:val="2610" w14:font="MS Gothic"/>
            </w14:checkbox>
          </w:sdtPr>
          <w:sdtContent>
            <w:tc>
              <w:tcPr>
                <w:tcW w:w="880" w:type="pct"/>
                <w:vAlign w:val="center"/>
              </w:tcPr>
              <w:p w:rsidR="0033379E" w:rsidRPr="00A17F97" w:rsidP="0033379E" w14:paraId="2604B70F" w14:textId="68F23CB0">
                <w:pPr>
                  <w:jc w:val="center"/>
                  <w:rPr>
                    <w:sz w:val="28"/>
                    <w:szCs w:val="28"/>
                  </w:rPr>
                </w:pPr>
                <w:r>
                  <w:rPr>
                    <w:rFonts w:ascii="MS Gothic" w:eastAsia="MS Gothic" w:hAnsi="MS Gothic" w:hint="eastAsia"/>
                    <w:sz w:val="28"/>
                    <w:szCs w:val="28"/>
                  </w:rPr>
                  <w:t>☐</w:t>
                </w:r>
              </w:p>
            </w:tc>
          </w:sdtContent>
        </w:sdt>
      </w:tr>
    </w:tbl>
    <w:p w:rsidR="001C1E58" w:rsidP="00CB16C1" w14:paraId="706EEB19" w14:textId="04D35B37">
      <w:pPr>
        <w:pStyle w:val="Lists"/>
        <w:spacing w:before="240" w:after="0"/>
        <w:rPr>
          <w:b/>
          <w:bCs/>
          <w:color w:val="0070C0"/>
          <w:sz w:val="28"/>
          <w:szCs w:val="28"/>
          <w:lang w:val="en-US"/>
        </w:rPr>
      </w:pPr>
    </w:p>
    <w:sectPr w:rsidSect="00CC4F85">
      <w:headerReference w:type="default" r:id="rId32"/>
      <w:pgSz w:w="12240" w:h="15840"/>
      <w:pgMar w:top="1728"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3E" w:rsidRPr="00D16E6F" w:rsidP="00D16E6F" w14:paraId="4CCCEF83" w14:textId="02B74010">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state or local standards. Consult your licensed representative at </w:t>
    </w:r>
    <w:r w:rsidR="00994637">
      <w:rPr>
        <w:rFonts w:ascii="Arial" w:hAnsi="Arial" w:cs="Arial"/>
        <w:i/>
        <w:sz w:val="16"/>
        <w:szCs w:val="16"/>
      </w:rPr>
      <w:t xml:space="preserve"> Lighthouse Benefit Advisors</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202</w:t>
    </w:r>
    <w:r w:rsidR="0098689C">
      <w:rPr>
        <w:rFonts w:ascii="Arial" w:hAnsi="Arial" w:cs="Arial"/>
        <w:i/>
        <w:sz w:val="16"/>
        <w:szCs w:val="16"/>
      </w:rPr>
      <w:t>6</w:t>
    </w:r>
    <w:r w:rsidRPr="0044504E">
      <w:rPr>
        <w:rFonts w:ascii="Arial" w:hAnsi="Arial" w:cs="Arial"/>
        <w:i/>
        <w:sz w:val="16"/>
        <w:szCs w:val="16"/>
      </w:rPr>
      <w:t xml:space="preserve"> Zywave,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3E" w:rsidP="005B613E" w14:paraId="60DB370D" w14:textId="77777777">
    <w:pPr>
      <w:pStyle w:val="Footer"/>
      <w:tabs>
        <w:tab w:val="right" w:pos="9090"/>
      </w:tabs>
    </w:pPr>
    <w:r>
      <w:tab/>
    </w:r>
  </w:p>
  <w:p w:rsidR="005B613E" w:rsidP="005B613E" w14:paraId="54DBC769" w14:textId="77777777">
    <w:pPr>
      <w:pStyle w:val="Footer"/>
      <w:tabs>
        <w:tab w:val="right" w:pos="9090"/>
      </w:tabs>
      <w:rPr>
        <w:rFonts w:ascii="Arial" w:hAnsi="Arial" w:cs="Arial"/>
        <w:i/>
        <w:sz w:val="16"/>
        <w:szCs w:val="16"/>
      </w:rPr>
    </w:pPr>
  </w:p>
  <w:p w:rsidR="005B613E" w:rsidRPr="005B613E" w:rsidP="005B613E" w14:paraId="0E7DF13F" w14:textId="5FA40BB2">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state or local standards. Consult your licensed representative at </w:t>
    </w:r>
    <w:r>
      <w:rPr>
        <w:rFonts w:ascii="Arial" w:hAnsi="Arial" w:cs="Arial"/>
        <w:i/>
        <w:sz w:val="16"/>
        <w:szCs w:val="16"/>
      </w:rPr>
      <w:t xml:space="preserve"> Lighthouse Benefit Advisors</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xml:space="preserve">© </w:t>
    </w:r>
    <w:r w:rsidR="00AE0698">
      <w:rPr>
        <w:rFonts w:ascii="Arial" w:hAnsi="Arial" w:cs="Arial"/>
        <w:i/>
        <w:sz w:val="16"/>
        <w:szCs w:val="16"/>
      </w:rPr>
      <w:t>202</w:t>
    </w:r>
    <w:r w:rsidR="00FF587E">
      <w:rPr>
        <w:rFonts w:ascii="Arial" w:hAnsi="Arial" w:cs="Arial"/>
        <w:i/>
        <w:sz w:val="16"/>
        <w:szCs w:val="16"/>
      </w:rPr>
      <w:t>6</w:t>
    </w:r>
    <w:r w:rsidRPr="0044504E">
      <w:rPr>
        <w:rFonts w:ascii="Arial" w:hAnsi="Arial" w:cs="Arial"/>
        <w:i/>
        <w:sz w:val="16"/>
        <w:szCs w:val="16"/>
      </w:rPr>
      <w:t xml:space="preserve"> Zywave, Inc.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831" w14:paraId="15628A15"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margin">
                <wp:posOffset>2343150</wp:posOffset>
              </wp:positionH>
              <wp:positionV relativeFrom="paragraph">
                <wp:posOffset>-114300</wp:posOffset>
              </wp:positionV>
              <wp:extent cx="3765550" cy="1193370"/>
              <wp:effectExtent l="0" t="0" r="0" b="6985"/>
              <wp:wrapNone/>
              <wp:docPr id="2"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65550" cy="1193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4C41" w:rsidRPr="00C11958" w:rsidP="00624C30" w14:textId="46774BEC">
                          <w:pPr>
                            <w:spacing w:line="240" w:lineRule="atLeast"/>
                            <w:rPr>
                              <w:rFonts w:ascii="Calibri" w:hAnsi="Calibri" w:cs="Calibri"/>
                              <w:b/>
                              <w:color w:val="474747"/>
                              <w:sz w:val="46"/>
                              <w:szCs w:val="46"/>
                            </w:rPr>
                          </w:pPr>
                          <w:r w:rsidRPr="00C11958">
                            <w:rPr>
                              <w:rFonts w:ascii="Calibri" w:hAnsi="Calibri" w:cs="Calibri"/>
                              <w:b/>
                              <w:color w:val="474747"/>
                              <w:sz w:val="46"/>
                              <w:szCs w:val="46"/>
                            </w:rPr>
                            <w:t>Health Plan</w:t>
                          </w:r>
                          <w:r w:rsidRPr="00C11958" w:rsidR="00EE38D4">
                            <w:rPr>
                              <w:rFonts w:ascii="Calibri" w:hAnsi="Calibri" w:cs="Calibri"/>
                              <w:b/>
                              <w:color w:val="474747"/>
                              <w:sz w:val="46"/>
                              <w:szCs w:val="46"/>
                            </w:rPr>
                            <w:t xml:space="preserve"> Compliance Checklist for Small Employers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296.5pt;height:93.95pt;margin-top:-9pt;margin-left:184.5pt;mso-height-percent:0;mso-height-relative:page;mso-position-horizontal-relative:margin;mso-width-percent:0;mso-width-relative:page;mso-wrap-distance-bottom:0;mso-wrap-distance-left:9pt;mso-wrap-distance-right:9pt;mso-wrap-distance-top:0;mso-wrap-style:square;position:absolute;v-text-anchor:top;visibility:visible;z-index:251661312" filled="f" stroked="f">
              <v:textbox>
                <w:txbxContent>
                  <w:p w:rsidR="00EF4C41" w:rsidRPr="00C11958" w:rsidP="00624C30" w14:paraId="3BDA30BA" w14:textId="46774BEC">
                    <w:pPr>
                      <w:spacing w:line="240" w:lineRule="atLeast"/>
                      <w:rPr>
                        <w:rFonts w:ascii="Calibri" w:hAnsi="Calibri" w:cs="Calibri"/>
                        <w:b/>
                        <w:color w:val="474747"/>
                        <w:sz w:val="46"/>
                        <w:szCs w:val="46"/>
                      </w:rPr>
                    </w:pPr>
                    <w:r w:rsidRPr="00C11958">
                      <w:rPr>
                        <w:rFonts w:ascii="Calibri" w:hAnsi="Calibri" w:cs="Calibri"/>
                        <w:b/>
                        <w:color w:val="474747"/>
                        <w:sz w:val="46"/>
                        <w:szCs w:val="46"/>
                      </w:rPr>
                      <w:t>Health Plan</w:t>
                    </w:r>
                    <w:r w:rsidRPr="00C11958" w:rsidR="00EE38D4">
                      <w:rPr>
                        <w:rFonts w:ascii="Calibri" w:hAnsi="Calibri" w:cs="Calibri"/>
                        <w:b/>
                        <w:color w:val="474747"/>
                        <w:sz w:val="46"/>
                        <w:szCs w:val="46"/>
                      </w:rPr>
                      <w:t xml:space="preserve"> Compliance Checklist for Small Employers</w:t>
                    </w:r>
                  </w:p>
                </w:txbxContent>
              </v:textbox>
              <w10:wrap anchorx="margin"/>
            </v:shape>
          </w:pict>
        </mc:Fallback>
      </mc:AlternateContent>
    </w:r>
    <w:r>
      <w:rPr>
        <w:noProof/>
      </w:rPr>
      <w:drawing>
        <wp:anchor distT="0" distB="0" distL="114300" distR="114300" simplePos="0" relativeHeight="251662336" behindDoc="1" locked="0" layoutInCell="1" allowOverlap="1">
          <wp:simplePos x="0" y="0"/>
          <wp:positionH relativeFrom="page">
            <wp:align>right</wp:align>
          </wp:positionH>
          <wp:positionV relativeFrom="paragraph">
            <wp:posOffset>-457200</wp:posOffset>
          </wp:positionV>
          <wp:extent cx="7766202" cy="10050780"/>
          <wp:effectExtent l="0" t="0" r="635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list-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202" cy="10050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F85" w:rsidP="00CC4F85" w14:paraId="321976EF" w14:textId="77777777">
    <w:pPr>
      <w:pStyle w:val="Header"/>
      <w:tabs>
        <w:tab w:val="left" w:pos="1560"/>
        <w:tab w:val="clear" w:pos="4680"/>
        <w:tab w:val="clear" w:pos="9360"/>
      </w:tabs>
    </w:pPr>
    <w:r>
      <w:rPr>
        <w:noProof/>
      </w:rPr>
      <mc:AlternateContent>
        <mc:Choice Requires="wps">
          <w:drawing>
            <wp:anchor distT="0" distB="0" distL="114300" distR="114300" simplePos="0" relativeHeight="251666432" behindDoc="0" locked="0" layoutInCell="1" allowOverlap="1">
              <wp:simplePos x="0" y="0"/>
              <wp:positionH relativeFrom="column">
                <wp:posOffset>588068</wp:posOffset>
              </wp:positionH>
              <wp:positionV relativeFrom="paragraph">
                <wp:posOffset>-180802</wp:posOffset>
              </wp:positionV>
              <wp:extent cx="5532755" cy="335280"/>
              <wp:effectExtent l="0" t="0" r="0" b="7620"/>
              <wp:wrapNone/>
              <wp:docPr id="1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755" cy="335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2D2C" w:rsidRPr="006622DC" w:rsidP="00CC4F85" w14:textId="200AE419">
                          <w:pPr>
                            <w:rPr>
                              <w:rFonts w:ascii="Calibri Light" w:hAnsi="Calibri Light" w:cs="Calibri Light"/>
                              <w:color w:val="474747"/>
                              <w:sz w:val="20"/>
                            </w:rPr>
                          </w:pPr>
                          <w:r>
                            <w:rPr>
                              <w:rFonts w:ascii="Calibri Light" w:hAnsi="Calibri Light" w:cs="Calibri Light"/>
                              <w:color w:val="474747"/>
                              <w:sz w:val="20"/>
                            </w:rPr>
                            <w:t>HEALTH PLAN</w:t>
                          </w:r>
                          <w:r w:rsidR="00EE38D4">
                            <w:rPr>
                              <w:rFonts w:ascii="Calibri Light" w:hAnsi="Calibri Light" w:cs="Calibri Light"/>
                              <w:color w:val="474747"/>
                              <w:sz w:val="20"/>
                            </w:rPr>
                            <w:t xml:space="preserve"> COMPLIANCE CHECKLIST FOR SMALL EMPLOYERS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0" type="#_x0000_t202" style="width:435.65pt;height:26.4pt;margin-top:-14.25pt;margin-left:46.3pt;mso-height-percent:0;mso-height-relative:page;mso-width-percent:0;mso-width-relative:page;mso-wrap-distance-bottom:0;mso-wrap-distance-left:9pt;mso-wrap-distance-right:9pt;mso-wrap-distance-top:0;mso-wrap-style:square;position:absolute;v-text-anchor:top;visibility:visible;z-index:251667456" filled="f" stroked="f">
              <v:textbox>
                <w:txbxContent>
                  <w:p w:rsidR="00372D2C" w:rsidRPr="006622DC" w:rsidP="00CC4F85" w14:paraId="112CEBCB" w14:textId="200AE419">
                    <w:pPr>
                      <w:rPr>
                        <w:rFonts w:ascii="Calibri Light" w:hAnsi="Calibri Light" w:cs="Calibri Light"/>
                        <w:color w:val="474747"/>
                        <w:sz w:val="20"/>
                      </w:rPr>
                    </w:pPr>
                    <w:r>
                      <w:rPr>
                        <w:rFonts w:ascii="Calibri Light" w:hAnsi="Calibri Light" w:cs="Calibri Light"/>
                        <w:color w:val="474747"/>
                        <w:sz w:val="20"/>
                      </w:rPr>
                      <w:t>HEALTH PLAN</w:t>
                    </w:r>
                    <w:r w:rsidR="00EE38D4">
                      <w:rPr>
                        <w:rFonts w:ascii="Calibri Light" w:hAnsi="Calibri Light" w:cs="Calibri Light"/>
                        <w:color w:val="474747"/>
                        <w:sz w:val="20"/>
                      </w:rPr>
                      <w:t xml:space="preserve"> COMPLIANCE CHECKLIST FOR SMALL EMPLOYERS</w:t>
                    </w:r>
                  </w:p>
                </w:txbxContent>
              </v:textbox>
            </v:shape>
          </w:pict>
        </mc:Fallback>
      </mc:AlternateContent>
    </w:r>
    <w:r>
      <w:rPr>
        <w:noProof/>
      </w:rPr>
      <w:drawing>
        <wp:anchor distT="0" distB="0" distL="114300" distR="114300" simplePos="0" relativeHeight="251665408" behindDoc="1" locked="0" layoutInCell="1" allowOverlap="1">
          <wp:simplePos x="0" y="0"/>
          <wp:positionH relativeFrom="page">
            <wp:align>right</wp:align>
          </wp:positionH>
          <wp:positionV relativeFrom="paragraph">
            <wp:posOffset>-581371</wp:posOffset>
          </wp:positionV>
          <wp:extent cx="7766474" cy="10050780"/>
          <wp:effectExtent l="0" t="0" r="635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simplePos x="0" y="0"/>
          <wp:positionH relativeFrom="page">
            <wp:posOffset>-6350</wp:posOffset>
          </wp:positionH>
          <wp:positionV relativeFrom="paragraph">
            <wp:posOffset>-470535</wp:posOffset>
          </wp:positionV>
          <wp:extent cx="7766050" cy="10050780"/>
          <wp:effectExtent l="0" t="0" r="635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050" cy="100507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831" w14:paraId="67780101"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611505</wp:posOffset>
              </wp:positionH>
              <wp:positionV relativeFrom="paragraph">
                <wp:posOffset>-47625</wp:posOffset>
              </wp:positionV>
              <wp:extent cx="5532755" cy="335280"/>
              <wp:effectExtent l="0" t="0" r="0" b="7620"/>
              <wp:wrapNone/>
              <wp:docPr id="1"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755" cy="335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1C9C" w:rsidRPr="006622DC" w14:textId="37155A98">
                          <w:pPr>
                            <w:rPr>
                              <w:rFonts w:ascii="Calibri Light" w:hAnsi="Calibri Light" w:cs="Calibri Light"/>
                              <w:color w:val="474747"/>
                              <w:sz w:val="20"/>
                            </w:rPr>
                          </w:pPr>
                          <w:r>
                            <w:rPr>
                              <w:rFonts w:ascii="Calibri Light" w:hAnsi="Calibri Light" w:cs="Calibri Light"/>
                              <w:color w:val="474747"/>
                              <w:sz w:val="20"/>
                            </w:rPr>
                            <w:t>HEALTH PLAN</w:t>
                          </w:r>
                          <w:r w:rsidR="00FF587E">
                            <w:rPr>
                              <w:rFonts w:ascii="Calibri Light" w:hAnsi="Calibri Light" w:cs="Calibri Light"/>
                              <w:color w:val="474747"/>
                              <w:sz w:val="20"/>
                            </w:rPr>
                            <w:t xml:space="preserve"> COMPLIANCE CHECKLIST FOR SMALL EMPLOYERS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435.65pt;height:26.4pt;margin-top:-3.75pt;margin-left:48.15pt;mso-height-percent:0;mso-height-relative:page;mso-width-percent:0;mso-width-relative:page;mso-wrap-distance-bottom:0;mso-wrap-distance-left:9pt;mso-wrap-distance-right:9pt;mso-wrap-distance-top:0;mso-wrap-style:square;position:absolute;v-text-anchor:top;visibility:visible;z-index:251659264" filled="f" stroked="f">
              <v:textbox>
                <w:txbxContent>
                  <w:p w:rsidR="00761C9C" w:rsidRPr="006622DC" w14:paraId="60412875" w14:textId="37155A98">
                    <w:pPr>
                      <w:rPr>
                        <w:rFonts w:ascii="Calibri Light" w:hAnsi="Calibri Light" w:cs="Calibri Light"/>
                        <w:color w:val="474747"/>
                        <w:sz w:val="20"/>
                      </w:rPr>
                    </w:pPr>
                    <w:r>
                      <w:rPr>
                        <w:rFonts w:ascii="Calibri Light" w:hAnsi="Calibri Light" w:cs="Calibri Light"/>
                        <w:color w:val="474747"/>
                        <w:sz w:val="20"/>
                      </w:rPr>
                      <w:t>HEALTH PLAN</w:t>
                    </w:r>
                    <w:r w:rsidR="00FF587E">
                      <w:rPr>
                        <w:rFonts w:ascii="Calibri Light" w:hAnsi="Calibri Light" w:cs="Calibri Light"/>
                        <w:color w:val="474747"/>
                        <w:sz w:val="20"/>
                      </w:rPr>
                      <w:t xml:space="preserve"> COMPLIANCE CHECKLIST FOR SMALL EMPLOYERS</w:t>
                    </w:r>
                  </w:p>
                </w:txbxContent>
              </v:textbox>
            </v:shape>
          </w:pict>
        </mc:Fallback>
      </mc:AlternateContent>
    </w: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-457200</wp:posOffset>
          </wp:positionV>
          <wp:extent cx="7766474" cy="100507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C7240"/>
    <w:multiLevelType w:val="hybridMultilevel"/>
    <w:tmpl w:val="8B408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2A0950"/>
    <w:multiLevelType w:val="hybridMultilevel"/>
    <w:tmpl w:val="DB165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5E7049"/>
    <w:multiLevelType w:val="hybridMultilevel"/>
    <w:tmpl w:val="ED846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D6B8B"/>
    <w:multiLevelType w:val="hybridMultilevel"/>
    <w:tmpl w:val="1D0A6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D03FDA"/>
    <w:multiLevelType w:val="hybridMultilevel"/>
    <w:tmpl w:val="8500C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CE4905"/>
    <w:multiLevelType w:val="hybridMultilevel"/>
    <w:tmpl w:val="F2240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030BE9"/>
    <w:multiLevelType w:val="hybridMultilevel"/>
    <w:tmpl w:val="32009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946740"/>
    <w:multiLevelType w:val="hybridMultilevel"/>
    <w:tmpl w:val="A920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8A13BE"/>
    <w:multiLevelType w:val="hybridMultilevel"/>
    <w:tmpl w:val="3F8EB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1E42F8"/>
    <w:multiLevelType w:val="hybridMultilevel"/>
    <w:tmpl w:val="DD7C7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B9283D"/>
    <w:multiLevelType w:val="hybridMultilevel"/>
    <w:tmpl w:val="EAEA96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103C4C"/>
    <w:multiLevelType w:val="hybridMultilevel"/>
    <w:tmpl w:val="D4404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C36E1B"/>
    <w:multiLevelType w:val="hybridMultilevel"/>
    <w:tmpl w:val="659C7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1D1EE6"/>
    <w:multiLevelType w:val="hybridMultilevel"/>
    <w:tmpl w:val="10B44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9E4A50"/>
    <w:multiLevelType w:val="hybridMultilevel"/>
    <w:tmpl w:val="3F227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5A1AE1"/>
    <w:multiLevelType w:val="hybridMultilevel"/>
    <w:tmpl w:val="A210C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B24B0C"/>
    <w:multiLevelType w:val="hybridMultilevel"/>
    <w:tmpl w:val="93B62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4F0EDC"/>
    <w:multiLevelType w:val="hybridMultilevel"/>
    <w:tmpl w:val="61A45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F2C0083"/>
    <w:multiLevelType w:val="hybridMultilevel"/>
    <w:tmpl w:val="C574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8955405">
    <w:abstractNumId w:val="11"/>
  </w:num>
  <w:num w:numId="2" w16cid:durableId="1361542328">
    <w:abstractNumId w:val="5"/>
  </w:num>
  <w:num w:numId="3" w16cid:durableId="278414489">
    <w:abstractNumId w:val="4"/>
  </w:num>
  <w:num w:numId="4" w16cid:durableId="636304769">
    <w:abstractNumId w:val="14"/>
  </w:num>
  <w:num w:numId="5" w16cid:durableId="629016987">
    <w:abstractNumId w:val="16"/>
  </w:num>
  <w:num w:numId="6" w16cid:durableId="1735661278">
    <w:abstractNumId w:val="6"/>
  </w:num>
  <w:num w:numId="7" w16cid:durableId="1683163546">
    <w:abstractNumId w:val="17"/>
  </w:num>
  <w:num w:numId="8" w16cid:durableId="1016463705">
    <w:abstractNumId w:val="10"/>
  </w:num>
  <w:num w:numId="9" w16cid:durableId="334842751">
    <w:abstractNumId w:val="0"/>
  </w:num>
  <w:num w:numId="10" w16cid:durableId="832523963">
    <w:abstractNumId w:val="1"/>
  </w:num>
  <w:num w:numId="11" w16cid:durableId="1280912438">
    <w:abstractNumId w:val="8"/>
  </w:num>
  <w:num w:numId="12" w16cid:durableId="888954540">
    <w:abstractNumId w:val="7"/>
  </w:num>
  <w:num w:numId="13" w16cid:durableId="1548033815">
    <w:abstractNumId w:val="15"/>
  </w:num>
  <w:num w:numId="14" w16cid:durableId="918564070">
    <w:abstractNumId w:val="3"/>
  </w:num>
  <w:num w:numId="15" w16cid:durableId="1944262730">
    <w:abstractNumId w:val="13"/>
  </w:num>
  <w:num w:numId="16" w16cid:durableId="15428028">
    <w:abstractNumId w:val="2"/>
  </w:num>
  <w:num w:numId="17" w16cid:durableId="2086105342">
    <w:abstractNumId w:val="18"/>
  </w:num>
  <w:num w:numId="18" w16cid:durableId="1731346277">
    <w:abstractNumId w:val="9"/>
  </w:num>
  <w:num w:numId="19" w16cid:durableId="1050498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13"/>
    <w:rsid w:val="00006E1B"/>
    <w:rsid w:val="00007558"/>
    <w:rsid w:val="00007DDE"/>
    <w:rsid w:val="0001129B"/>
    <w:rsid w:val="00011720"/>
    <w:rsid w:val="00011B93"/>
    <w:rsid w:val="00012F47"/>
    <w:rsid w:val="000145C9"/>
    <w:rsid w:val="000149CF"/>
    <w:rsid w:val="00014C83"/>
    <w:rsid w:val="00014EE9"/>
    <w:rsid w:val="00015190"/>
    <w:rsid w:val="00016B98"/>
    <w:rsid w:val="000224C5"/>
    <w:rsid w:val="00023EDC"/>
    <w:rsid w:val="0002554F"/>
    <w:rsid w:val="00031142"/>
    <w:rsid w:val="000320DC"/>
    <w:rsid w:val="00032E2F"/>
    <w:rsid w:val="0004019E"/>
    <w:rsid w:val="0004053A"/>
    <w:rsid w:val="0004681B"/>
    <w:rsid w:val="00051E8C"/>
    <w:rsid w:val="00056B88"/>
    <w:rsid w:val="0005709B"/>
    <w:rsid w:val="000644A7"/>
    <w:rsid w:val="00067896"/>
    <w:rsid w:val="000704B8"/>
    <w:rsid w:val="00071AFE"/>
    <w:rsid w:val="00072758"/>
    <w:rsid w:val="000729DC"/>
    <w:rsid w:val="00080DE1"/>
    <w:rsid w:val="00085BC1"/>
    <w:rsid w:val="000865F9"/>
    <w:rsid w:val="00092AE0"/>
    <w:rsid w:val="00092B99"/>
    <w:rsid w:val="00093A7C"/>
    <w:rsid w:val="00093DF7"/>
    <w:rsid w:val="00094108"/>
    <w:rsid w:val="000951C9"/>
    <w:rsid w:val="00095C23"/>
    <w:rsid w:val="00096241"/>
    <w:rsid w:val="000A2603"/>
    <w:rsid w:val="000A36D2"/>
    <w:rsid w:val="000B3B28"/>
    <w:rsid w:val="000B5E12"/>
    <w:rsid w:val="000B6724"/>
    <w:rsid w:val="000C0298"/>
    <w:rsid w:val="000C2B49"/>
    <w:rsid w:val="000C2C4C"/>
    <w:rsid w:val="000C489C"/>
    <w:rsid w:val="000C4D03"/>
    <w:rsid w:val="000C7FDB"/>
    <w:rsid w:val="000E0263"/>
    <w:rsid w:val="000E0CBD"/>
    <w:rsid w:val="000E0E79"/>
    <w:rsid w:val="000E1217"/>
    <w:rsid w:val="000E2EC8"/>
    <w:rsid w:val="000E6302"/>
    <w:rsid w:val="000F06E8"/>
    <w:rsid w:val="000F1956"/>
    <w:rsid w:val="000F4444"/>
    <w:rsid w:val="001027F5"/>
    <w:rsid w:val="0010390E"/>
    <w:rsid w:val="00104919"/>
    <w:rsid w:val="001073CD"/>
    <w:rsid w:val="001076CC"/>
    <w:rsid w:val="00111F08"/>
    <w:rsid w:val="0011223C"/>
    <w:rsid w:val="001130DD"/>
    <w:rsid w:val="0011404A"/>
    <w:rsid w:val="001159F9"/>
    <w:rsid w:val="00117F46"/>
    <w:rsid w:val="00122A65"/>
    <w:rsid w:val="00122F4D"/>
    <w:rsid w:val="00123951"/>
    <w:rsid w:val="00123DA7"/>
    <w:rsid w:val="0012428A"/>
    <w:rsid w:val="0012574A"/>
    <w:rsid w:val="00127DA4"/>
    <w:rsid w:val="0013228C"/>
    <w:rsid w:val="00132F7F"/>
    <w:rsid w:val="0013356A"/>
    <w:rsid w:val="00133850"/>
    <w:rsid w:val="00134583"/>
    <w:rsid w:val="00135F3E"/>
    <w:rsid w:val="001425EC"/>
    <w:rsid w:val="001428D2"/>
    <w:rsid w:val="001445D4"/>
    <w:rsid w:val="00151397"/>
    <w:rsid w:val="00152C80"/>
    <w:rsid w:val="00153A16"/>
    <w:rsid w:val="00155F60"/>
    <w:rsid w:val="001563F1"/>
    <w:rsid w:val="001607B6"/>
    <w:rsid w:val="001642EF"/>
    <w:rsid w:val="001661B1"/>
    <w:rsid w:val="001666FB"/>
    <w:rsid w:val="0017006B"/>
    <w:rsid w:val="00170EAE"/>
    <w:rsid w:val="00172978"/>
    <w:rsid w:val="00176294"/>
    <w:rsid w:val="00177AD0"/>
    <w:rsid w:val="001804C4"/>
    <w:rsid w:val="00186F6D"/>
    <w:rsid w:val="00187E37"/>
    <w:rsid w:val="00192257"/>
    <w:rsid w:val="001A1470"/>
    <w:rsid w:val="001A24F6"/>
    <w:rsid w:val="001A4141"/>
    <w:rsid w:val="001A5115"/>
    <w:rsid w:val="001A5C32"/>
    <w:rsid w:val="001B417D"/>
    <w:rsid w:val="001C0AED"/>
    <w:rsid w:val="001C0B57"/>
    <w:rsid w:val="001C150A"/>
    <w:rsid w:val="001C1E58"/>
    <w:rsid w:val="001C3DB8"/>
    <w:rsid w:val="001C604E"/>
    <w:rsid w:val="001C63D1"/>
    <w:rsid w:val="001C731D"/>
    <w:rsid w:val="001D1508"/>
    <w:rsid w:val="001D2884"/>
    <w:rsid w:val="001D3D77"/>
    <w:rsid w:val="001D4418"/>
    <w:rsid w:val="001D468B"/>
    <w:rsid w:val="001D4A7A"/>
    <w:rsid w:val="001E345F"/>
    <w:rsid w:val="001E3AF3"/>
    <w:rsid w:val="001E49C6"/>
    <w:rsid w:val="001E51DD"/>
    <w:rsid w:val="001E7338"/>
    <w:rsid w:val="001F47FB"/>
    <w:rsid w:val="001F579F"/>
    <w:rsid w:val="001F72F2"/>
    <w:rsid w:val="001F7E6B"/>
    <w:rsid w:val="00203427"/>
    <w:rsid w:val="00204144"/>
    <w:rsid w:val="00210287"/>
    <w:rsid w:val="00213B62"/>
    <w:rsid w:val="00213F35"/>
    <w:rsid w:val="002142F8"/>
    <w:rsid w:val="00215B01"/>
    <w:rsid w:val="00216D37"/>
    <w:rsid w:val="00220D30"/>
    <w:rsid w:val="00227231"/>
    <w:rsid w:val="0023279B"/>
    <w:rsid w:val="00240EF1"/>
    <w:rsid w:val="00250FC8"/>
    <w:rsid w:val="00252129"/>
    <w:rsid w:val="00253088"/>
    <w:rsid w:val="002567DC"/>
    <w:rsid w:val="002610D1"/>
    <w:rsid w:val="0026797D"/>
    <w:rsid w:val="00272EEB"/>
    <w:rsid w:val="00273501"/>
    <w:rsid w:val="00275F98"/>
    <w:rsid w:val="00277A51"/>
    <w:rsid w:val="002831B0"/>
    <w:rsid w:val="00284F6F"/>
    <w:rsid w:val="00285F31"/>
    <w:rsid w:val="00286A16"/>
    <w:rsid w:val="00286B67"/>
    <w:rsid w:val="0029206C"/>
    <w:rsid w:val="002922BC"/>
    <w:rsid w:val="0029621A"/>
    <w:rsid w:val="0029702E"/>
    <w:rsid w:val="00297495"/>
    <w:rsid w:val="002A1B07"/>
    <w:rsid w:val="002A40EB"/>
    <w:rsid w:val="002A4242"/>
    <w:rsid w:val="002A7E0A"/>
    <w:rsid w:val="002B0854"/>
    <w:rsid w:val="002B319E"/>
    <w:rsid w:val="002B3B59"/>
    <w:rsid w:val="002B50BC"/>
    <w:rsid w:val="002B5A08"/>
    <w:rsid w:val="002B60EC"/>
    <w:rsid w:val="002B68E7"/>
    <w:rsid w:val="002B6BD1"/>
    <w:rsid w:val="002C1AE7"/>
    <w:rsid w:val="002C2C7D"/>
    <w:rsid w:val="002C4A27"/>
    <w:rsid w:val="002C6FC2"/>
    <w:rsid w:val="002D15C8"/>
    <w:rsid w:val="002D2D30"/>
    <w:rsid w:val="002D499F"/>
    <w:rsid w:val="002E3AC2"/>
    <w:rsid w:val="002E66A2"/>
    <w:rsid w:val="002E6743"/>
    <w:rsid w:val="002F384B"/>
    <w:rsid w:val="002F428C"/>
    <w:rsid w:val="002F4DAD"/>
    <w:rsid w:val="002F534F"/>
    <w:rsid w:val="002F766E"/>
    <w:rsid w:val="00300D25"/>
    <w:rsid w:val="00313656"/>
    <w:rsid w:val="00313B4B"/>
    <w:rsid w:val="00316169"/>
    <w:rsid w:val="00316739"/>
    <w:rsid w:val="003177C1"/>
    <w:rsid w:val="00322518"/>
    <w:rsid w:val="003238BC"/>
    <w:rsid w:val="00326AEC"/>
    <w:rsid w:val="0033282D"/>
    <w:rsid w:val="0033379E"/>
    <w:rsid w:val="00334003"/>
    <w:rsid w:val="00334F8F"/>
    <w:rsid w:val="003356B4"/>
    <w:rsid w:val="00336585"/>
    <w:rsid w:val="003441F1"/>
    <w:rsid w:val="00346BF0"/>
    <w:rsid w:val="00347EBC"/>
    <w:rsid w:val="0035155D"/>
    <w:rsid w:val="00352028"/>
    <w:rsid w:val="00356CF2"/>
    <w:rsid w:val="00357B31"/>
    <w:rsid w:val="003620ED"/>
    <w:rsid w:val="003657FC"/>
    <w:rsid w:val="00366E18"/>
    <w:rsid w:val="003678E3"/>
    <w:rsid w:val="00370C94"/>
    <w:rsid w:val="00371B2F"/>
    <w:rsid w:val="00372888"/>
    <w:rsid w:val="00372C2A"/>
    <w:rsid w:val="00372D2C"/>
    <w:rsid w:val="003730C5"/>
    <w:rsid w:val="003745DA"/>
    <w:rsid w:val="00375A07"/>
    <w:rsid w:val="003817D1"/>
    <w:rsid w:val="00386EB3"/>
    <w:rsid w:val="003879D5"/>
    <w:rsid w:val="00390983"/>
    <w:rsid w:val="00391064"/>
    <w:rsid w:val="00391F54"/>
    <w:rsid w:val="0039351B"/>
    <w:rsid w:val="003940DD"/>
    <w:rsid w:val="003A1142"/>
    <w:rsid w:val="003A4C0E"/>
    <w:rsid w:val="003B6CE7"/>
    <w:rsid w:val="003C02F5"/>
    <w:rsid w:val="003C4C49"/>
    <w:rsid w:val="003C53CC"/>
    <w:rsid w:val="003C642E"/>
    <w:rsid w:val="003C6644"/>
    <w:rsid w:val="003C7490"/>
    <w:rsid w:val="003D14FB"/>
    <w:rsid w:val="003D7811"/>
    <w:rsid w:val="003E22A4"/>
    <w:rsid w:val="003E3B94"/>
    <w:rsid w:val="003E3D18"/>
    <w:rsid w:val="003E6743"/>
    <w:rsid w:val="003F04F3"/>
    <w:rsid w:val="003F0F18"/>
    <w:rsid w:val="00403432"/>
    <w:rsid w:val="004043BB"/>
    <w:rsid w:val="0041080C"/>
    <w:rsid w:val="00410CB8"/>
    <w:rsid w:val="00413954"/>
    <w:rsid w:val="00415043"/>
    <w:rsid w:val="00415716"/>
    <w:rsid w:val="0041670B"/>
    <w:rsid w:val="0041672A"/>
    <w:rsid w:val="004222C3"/>
    <w:rsid w:val="00425107"/>
    <w:rsid w:val="0042548A"/>
    <w:rsid w:val="004306E4"/>
    <w:rsid w:val="0043184C"/>
    <w:rsid w:val="00434079"/>
    <w:rsid w:val="0043620A"/>
    <w:rsid w:val="0043630D"/>
    <w:rsid w:val="004406CE"/>
    <w:rsid w:val="00440B07"/>
    <w:rsid w:val="00443059"/>
    <w:rsid w:val="0044504E"/>
    <w:rsid w:val="00447FC8"/>
    <w:rsid w:val="0045099A"/>
    <w:rsid w:val="00453051"/>
    <w:rsid w:val="004561D3"/>
    <w:rsid w:val="00457585"/>
    <w:rsid w:val="004611EF"/>
    <w:rsid w:val="00461E91"/>
    <w:rsid w:val="00462883"/>
    <w:rsid w:val="004647D7"/>
    <w:rsid w:val="00464E9E"/>
    <w:rsid w:val="0046756C"/>
    <w:rsid w:val="00472373"/>
    <w:rsid w:val="00473A9C"/>
    <w:rsid w:val="00474512"/>
    <w:rsid w:val="004746E8"/>
    <w:rsid w:val="004756F2"/>
    <w:rsid w:val="004777F3"/>
    <w:rsid w:val="00480693"/>
    <w:rsid w:val="00481432"/>
    <w:rsid w:val="00483174"/>
    <w:rsid w:val="004859ED"/>
    <w:rsid w:val="004867A7"/>
    <w:rsid w:val="00487EC2"/>
    <w:rsid w:val="00490983"/>
    <w:rsid w:val="00492AE9"/>
    <w:rsid w:val="00493802"/>
    <w:rsid w:val="004948D5"/>
    <w:rsid w:val="00495D8F"/>
    <w:rsid w:val="004A0224"/>
    <w:rsid w:val="004A713D"/>
    <w:rsid w:val="004A7EC7"/>
    <w:rsid w:val="004B7127"/>
    <w:rsid w:val="004B7225"/>
    <w:rsid w:val="004C096C"/>
    <w:rsid w:val="004C0BD6"/>
    <w:rsid w:val="004C1A08"/>
    <w:rsid w:val="004C1F09"/>
    <w:rsid w:val="004C522E"/>
    <w:rsid w:val="004D0019"/>
    <w:rsid w:val="004D52E9"/>
    <w:rsid w:val="004E13A3"/>
    <w:rsid w:val="004E242A"/>
    <w:rsid w:val="004E2D24"/>
    <w:rsid w:val="004E4865"/>
    <w:rsid w:val="004F2C9D"/>
    <w:rsid w:val="004F344A"/>
    <w:rsid w:val="004F39AE"/>
    <w:rsid w:val="004F3E33"/>
    <w:rsid w:val="004F77FA"/>
    <w:rsid w:val="00500AFA"/>
    <w:rsid w:val="005053A5"/>
    <w:rsid w:val="00507249"/>
    <w:rsid w:val="00507499"/>
    <w:rsid w:val="00507990"/>
    <w:rsid w:val="00511B34"/>
    <w:rsid w:val="00513958"/>
    <w:rsid w:val="00517B2B"/>
    <w:rsid w:val="0052216D"/>
    <w:rsid w:val="00525D93"/>
    <w:rsid w:val="00527479"/>
    <w:rsid w:val="00533BDD"/>
    <w:rsid w:val="005370F5"/>
    <w:rsid w:val="00541752"/>
    <w:rsid w:val="005449B2"/>
    <w:rsid w:val="00544BF7"/>
    <w:rsid w:val="005454CA"/>
    <w:rsid w:val="00546727"/>
    <w:rsid w:val="00546FB6"/>
    <w:rsid w:val="00547E14"/>
    <w:rsid w:val="005504D6"/>
    <w:rsid w:val="005504E0"/>
    <w:rsid w:val="00554632"/>
    <w:rsid w:val="00556D9B"/>
    <w:rsid w:val="005570CC"/>
    <w:rsid w:val="005635E9"/>
    <w:rsid w:val="00563E18"/>
    <w:rsid w:val="00564B53"/>
    <w:rsid w:val="005656D2"/>
    <w:rsid w:val="005672E8"/>
    <w:rsid w:val="005723FA"/>
    <w:rsid w:val="00572F71"/>
    <w:rsid w:val="00575831"/>
    <w:rsid w:val="005764A5"/>
    <w:rsid w:val="00576ABC"/>
    <w:rsid w:val="005836CC"/>
    <w:rsid w:val="0058688A"/>
    <w:rsid w:val="005A08E4"/>
    <w:rsid w:val="005A1BE9"/>
    <w:rsid w:val="005A29CF"/>
    <w:rsid w:val="005A2A64"/>
    <w:rsid w:val="005A6CD7"/>
    <w:rsid w:val="005B12A1"/>
    <w:rsid w:val="005B4D18"/>
    <w:rsid w:val="005B613E"/>
    <w:rsid w:val="005C185E"/>
    <w:rsid w:val="005C2EDE"/>
    <w:rsid w:val="005C7FA4"/>
    <w:rsid w:val="005D2BE3"/>
    <w:rsid w:val="005D3046"/>
    <w:rsid w:val="005D3DF4"/>
    <w:rsid w:val="005D5219"/>
    <w:rsid w:val="005D55C2"/>
    <w:rsid w:val="005E0D06"/>
    <w:rsid w:val="005E2213"/>
    <w:rsid w:val="005E552D"/>
    <w:rsid w:val="005F0579"/>
    <w:rsid w:val="005F0FAF"/>
    <w:rsid w:val="005F15B3"/>
    <w:rsid w:val="005F190C"/>
    <w:rsid w:val="005F2BBE"/>
    <w:rsid w:val="005F2E7B"/>
    <w:rsid w:val="005F44D6"/>
    <w:rsid w:val="00600866"/>
    <w:rsid w:val="00600988"/>
    <w:rsid w:val="00601617"/>
    <w:rsid w:val="0060246E"/>
    <w:rsid w:val="00603F57"/>
    <w:rsid w:val="006055F5"/>
    <w:rsid w:val="00610171"/>
    <w:rsid w:val="00611543"/>
    <w:rsid w:val="00613B1B"/>
    <w:rsid w:val="00613E5C"/>
    <w:rsid w:val="006204C1"/>
    <w:rsid w:val="00620921"/>
    <w:rsid w:val="0062372A"/>
    <w:rsid w:val="00624C30"/>
    <w:rsid w:val="00626966"/>
    <w:rsid w:val="00630296"/>
    <w:rsid w:val="0063086F"/>
    <w:rsid w:val="00631285"/>
    <w:rsid w:val="00631971"/>
    <w:rsid w:val="00631B9A"/>
    <w:rsid w:val="00635E8E"/>
    <w:rsid w:val="0063720A"/>
    <w:rsid w:val="00637A69"/>
    <w:rsid w:val="00643BF2"/>
    <w:rsid w:val="006447D4"/>
    <w:rsid w:val="006450E7"/>
    <w:rsid w:val="006478CF"/>
    <w:rsid w:val="006515D1"/>
    <w:rsid w:val="00654764"/>
    <w:rsid w:val="00657ACA"/>
    <w:rsid w:val="006614A3"/>
    <w:rsid w:val="006622DC"/>
    <w:rsid w:val="0066359A"/>
    <w:rsid w:val="00663FED"/>
    <w:rsid w:val="006640C7"/>
    <w:rsid w:val="00673A26"/>
    <w:rsid w:val="00673BCD"/>
    <w:rsid w:val="0067502D"/>
    <w:rsid w:val="0067657D"/>
    <w:rsid w:val="0068033B"/>
    <w:rsid w:val="006825A0"/>
    <w:rsid w:val="006840FC"/>
    <w:rsid w:val="00684774"/>
    <w:rsid w:val="00687E98"/>
    <w:rsid w:val="00695100"/>
    <w:rsid w:val="00695557"/>
    <w:rsid w:val="006960E5"/>
    <w:rsid w:val="006A045A"/>
    <w:rsid w:val="006A1AC1"/>
    <w:rsid w:val="006A4050"/>
    <w:rsid w:val="006A5555"/>
    <w:rsid w:val="006A65E5"/>
    <w:rsid w:val="006A67FE"/>
    <w:rsid w:val="006A681F"/>
    <w:rsid w:val="006B0935"/>
    <w:rsid w:val="006B0BB6"/>
    <w:rsid w:val="006B0F9D"/>
    <w:rsid w:val="006B1477"/>
    <w:rsid w:val="006B231E"/>
    <w:rsid w:val="006B60B2"/>
    <w:rsid w:val="006B73DA"/>
    <w:rsid w:val="006C2489"/>
    <w:rsid w:val="006C264E"/>
    <w:rsid w:val="006C3ED9"/>
    <w:rsid w:val="006C4E20"/>
    <w:rsid w:val="006C6EFA"/>
    <w:rsid w:val="006C7E25"/>
    <w:rsid w:val="006D013B"/>
    <w:rsid w:val="006D47EF"/>
    <w:rsid w:val="006D4EDA"/>
    <w:rsid w:val="006D5A48"/>
    <w:rsid w:val="006E0C7E"/>
    <w:rsid w:val="006E2B29"/>
    <w:rsid w:val="006E4486"/>
    <w:rsid w:val="006E4760"/>
    <w:rsid w:val="006E484E"/>
    <w:rsid w:val="006E6240"/>
    <w:rsid w:val="006E694C"/>
    <w:rsid w:val="006F03CD"/>
    <w:rsid w:val="006F14CA"/>
    <w:rsid w:val="006F3B9D"/>
    <w:rsid w:val="006F6DDD"/>
    <w:rsid w:val="006F6FB0"/>
    <w:rsid w:val="00700B43"/>
    <w:rsid w:val="00700E43"/>
    <w:rsid w:val="00704AFF"/>
    <w:rsid w:val="007055BC"/>
    <w:rsid w:val="007107D6"/>
    <w:rsid w:val="00711881"/>
    <w:rsid w:val="0071362F"/>
    <w:rsid w:val="007156AE"/>
    <w:rsid w:val="0072015C"/>
    <w:rsid w:val="00722360"/>
    <w:rsid w:val="007249F8"/>
    <w:rsid w:val="007263E6"/>
    <w:rsid w:val="007268BB"/>
    <w:rsid w:val="007306FD"/>
    <w:rsid w:val="007308B3"/>
    <w:rsid w:val="00732EC5"/>
    <w:rsid w:val="00733504"/>
    <w:rsid w:val="00733B8C"/>
    <w:rsid w:val="00734CBF"/>
    <w:rsid w:val="0074198D"/>
    <w:rsid w:val="0074509D"/>
    <w:rsid w:val="00745ED5"/>
    <w:rsid w:val="0074605D"/>
    <w:rsid w:val="00746AC2"/>
    <w:rsid w:val="00747749"/>
    <w:rsid w:val="00747C02"/>
    <w:rsid w:val="007501D0"/>
    <w:rsid w:val="007504E9"/>
    <w:rsid w:val="007537BB"/>
    <w:rsid w:val="00753998"/>
    <w:rsid w:val="007546B0"/>
    <w:rsid w:val="0075555E"/>
    <w:rsid w:val="007579B0"/>
    <w:rsid w:val="0076064B"/>
    <w:rsid w:val="00761C9C"/>
    <w:rsid w:val="00762B5F"/>
    <w:rsid w:val="00762C9D"/>
    <w:rsid w:val="007635F2"/>
    <w:rsid w:val="00765122"/>
    <w:rsid w:val="00765C97"/>
    <w:rsid w:val="007669CE"/>
    <w:rsid w:val="00772078"/>
    <w:rsid w:val="007734D8"/>
    <w:rsid w:val="0077360B"/>
    <w:rsid w:val="00780B54"/>
    <w:rsid w:val="00783CC0"/>
    <w:rsid w:val="00784372"/>
    <w:rsid w:val="007875B3"/>
    <w:rsid w:val="00790649"/>
    <w:rsid w:val="00796741"/>
    <w:rsid w:val="007A36AF"/>
    <w:rsid w:val="007A3FEE"/>
    <w:rsid w:val="007A5093"/>
    <w:rsid w:val="007A6E3B"/>
    <w:rsid w:val="007B04B7"/>
    <w:rsid w:val="007B2CF4"/>
    <w:rsid w:val="007B4605"/>
    <w:rsid w:val="007B6DC6"/>
    <w:rsid w:val="007C1812"/>
    <w:rsid w:val="007C604D"/>
    <w:rsid w:val="007D0C2E"/>
    <w:rsid w:val="007D2C24"/>
    <w:rsid w:val="007D4270"/>
    <w:rsid w:val="007D4EF0"/>
    <w:rsid w:val="007D721D"/>
    <w:rsid w:val="007D7327"/>
    <w:rsid w:val="007E0FDA"/>
    <w:rsid w:val="007E1C18"/>
    <w:rsid w:val="007E539A"/>
    <w:rsid w:val="007E5F86"/>
    <w:rsid w:val="007F1F69"/>
    <w:rsid w:val="007F2465"/>
    <w:rsid w:val="008014B7"/>
    <w:rsid w:val="008022EF"/>
    <w:rsid w:val="00803521"/>
    <w:rsid w:val="008041B6"/>
    <w:rsid w:val="00811EC8"/>
    <w:rsid w:val="00812BFB"/>
    <w:rsid w:val="00812F99"/>
    <w:rsid w:val="0081405D"/>
    <w:rsid w:val="008145EE"/>
    <w:rsid w:val="008152CA"/>
    <w:rsid w:val="00815B66"/>
    <w:rsid w:val="00821D08"/>
    <w:rsid w:val="00823DD7"/>
    <w:rsid w:val="008323F8"/>
    <w:rsid w:val="00832F98"/>
    <w:rsid w:val="00837048"/>
    <w:rsid w:val="0084087E"/>
    <w:rsid w:val="0084157B"/>
    <w:rsid w:val="00844519"/>
    <w:rsid w:val="008475DC"/>
    <w:rsid w:val="00861301"/>
    <w:rsid w:val="00863ED7"/>
    <w:rsid w:val="0087003C"/>
    <w:rsid w:val="00870D61"/>
    <w:rsid w:val="00871B2F"/>
    <w:rsid w:val="00871C04"/>
    <w:rsid w:val="0087200C"/>
    <w:rsid w:val="00873C1C"/>
    <w:rsid w:val="008749B7"/>
    <w:rsid w:val="00877625"/>
    <w:rsid w:val="008817DB"/>
    <w:rsid w:val="00881C7D"/>
    <w:rsid w:val="00892594"/>
    <w:rsid w:val="008965A8"/>
    <w:rsid w:val="008A11B6"/>
    <w:rsid w:val="008A212C"/>
    <w:rsid w:val="008A2158"/>
    <w:rsid w:val="008A4991"/>
    <w:rsid w:val="008A4EAA"/>
    <w:rsid w:val="008A54F9"/>
    <w:rsid w:val="008A5973"/>
    <w:rsid w:val="008A75EB"/>
    <w:rsid w:val="008B3DBA"/>
    <w:rsid w:val="008C325E"/>
    <w:rsid w:val="008C4256"/>
    <w:rsid w:val="008C59FA"/>
    <w:rsid w:val="008C5F3B"/>
    <w:rsid w:val="008C6B49"/>
    <w:rsid w:val="008D1551"/>
    <w:rsid w:val="008D1EE5"/>
    <w:rsid w:val="008D2FF0"/>
    <w:rsid w:val="008D4B76"/>
    <w:rsid w:val="008D4E85"/>
    <w:rsid w:val="008D60B6"/>
    <w:rsid w:val="008D6756"/>
    <w:rsid w:val="008E41F8"/>
    <w:rsid w:val="008E7A7A"/>
    <w:rsid w:val="008F0A26"/>
    <w:rsid w:val="008F3042"/>
    <w:rsid w:val="008F4649"/>
    <w:rsid w:val="008F5DBD"/>
    <w:rsid w:val="008F5F26"/>
    <w:rsid w:val="008F662E"/>
    <w:rsid w:val="00902AFC"/>
    <w:rsid w:val="00902F20"/>
    <w:rsid w:val="00906CBC"/>
    <w:rsid w:val="00912D66"/>
    <w:rsid w:val="0091454A"/>
    <w:rsid w:val="0092309C"/>
    <w:rsid w:val="009233DA"/>
    <w:rsid w:val="009265C4"/>
    <w:rsid w:val="009332EB"/>
    <w:rsid w:val="009342F0"/>
    <w:rsid w:val="0094077D"/>
    <w:rsid w:val="00941F5D"/>
    <w:rsid w:val="00944B7B"/>
    <w:rsid w:val="0094503A"/>
    <w:rsid w:val="00945C68"/>
    <w:rsid w:val="00947EFD"/>
    <w:rsid w:val="00951E6A"/>
    <w:rsid w:val="009529A9"/>
    <w:rsid w:val="00961280"/>
    <w:rsid w:val="009624D9"/>
    <w:rsid w:val="00962EE7"/>
    <w:rsid w:val="00965DFB"/>
    <w:rsid w:val="009760A1"/>
    <w:rsid w:val="00980A8B"/>
    <w:rsid w:val="00981487"/>
    <w:rsid w:val="009819AA"/>
    <w:rsid w:val="00981D9C"/>
    <w:rsid w:val="009855DD"/>
    <w:rsid w:val="0098574F"/>
    <w:rsid w:val="0098689C"/>
    <w:rsid w:val="00992443"/>
    <w:rsid w:val="00994637"/>
    <w:rsid w:val="00997363"/>
    <w:rsid w:val="009A27E5"/>
    <w:rsid w:val="009B113A"/>
    <w:rsid w:val="009B4D23"/>
    <w:rsid w:val="009C21C7"/>
    <w:rsid w:val="009C38D7"/>
    <w:rsid w:val="009C4C14"/>
    <w:rsid w:val="009C5FF3"/>
    <w:rsid w:val="009D0F04"/>
    <w:rsid w:val="009D1230"/>
    <w:rsid w:val="009D4713"/>
    <w:rsid w:val="009D6775"/>
    <w:rsid w:val="009D6C62"/>
    <w:rsid w:val="009D7D53"/>
    <w:rsid w:val="009E5D43"/>
    <w:rsid w:val="009F10B2"/>
    <w:rsid w:val="009F4C74"/>
    <w:rsid w:val="009F5AF4"/>
    <w:rsid w:val="009F6AE5"/>
    <w:rsid w:val="009F78EC"/>
    <w:rsid w:val="00A02F01"/>
    <w:rsid w:val="00A06452"/>
    <w:rsid w:val="00A1106A"/>
    <w:rsid w:val="00A11375"/>
    <w:rsid w:val="00A17F97"/>
    <w:rsid w:val="00A2364B"/>
    <w:rsid w:val="00A25146"/>
    <w:rsid w:val="00A260DF"/>
    <w:rsid w:val="00A31709"/>
    <w:rsid w:val="00A334B9"/>
    <w:rsid w:val="00A350E9"/>
    <w:rsid w:val="00A354FE"/>
    <w:rsid w:val="00A4263E"/>
    <w:rsid w:val="00A4531F"/>
    <w:rsid w:val="00A50524"/>
    <w:rsid w:val="00A5161D"/>
    <w:rsid w:val="00A53F82"/>
    <w:rsid w:val="00A54F6F"/>
    <w:rsid w:val="00A6050C"/>
    <w:rsid w:val="00A61A3B"/>
    <w:rsid w:val="00A62686"/>
    <w:rsid w:val="00A6504F"/>
    <w:rsid w:val="00A655C9"/>
    <w:rsid w:val="00A66860"/>
    <w:rsid w:val="00A66DF4"/>
    <w:rsid w:val="00A70D8C"/>
    <w:rsid w:val="00A72070"/>
    <w:rsid w:val="00A75A8E"/>
    <w:rsid w:val="00A82686"/>
    <w:rsid w:val="00A85241"/>
    <w:rsid w:val="00A85F35"/>
    <w:rsid w:val="00A95041"/>
    <w:rsid w:val="00A971ED"/>
    <w:rsid w:val="00AA3AE7"/>
    <w:rsid w:val="00AA49ED"/>
    <w:rsid w:val="00AA4F04"/>
    <w:rsid w:val="00AA618D"/>
    <w:rsid w:val="00AB1F6B"/>
    <w:rsid w:val="00AB2C9B"/>
    <w:rsid w:val="00AB6CE5"/>
    <w:rsid w:val="00AC1EB6"/>
    <w:rsid w:val="00AC294C"/>
    <w:rsid w:val="00AC2A5F"/>
    <w:rsid w:val="00AC4F14"/>
    <w:rsid w:val="00AC7E59"/>
    <w:rsid w:val="00AD1734"/>
    <w:rsid w:val="00AE0698"/>
    <w:rsid w:val="00AE174B"/>
    <w:rsid w:val="00AE5334"/>
    <w:rsid w:val="00AE68BB"/>
    <w:rsid w:val="00AF09DD"/>
    <w:rsid w:val="00AF0F39"/>
    <w:rsid w:val="00AF604B"/>
    <w:rsid w:val="00B0512F"/>
    <w:rsid w:val="00B058F5"/>
    <w:rsid w:val="00B05BD1"/>
    <w:rsid w:val="00B07A5F"/>
    <w:rsid w:val="00B10341"/>
    <w:rsid w:val="00B11607"/>
    <w:rsid w:val="00B155A1"/>
    <w:rsid w:val="00B16080"/>
    <w:rsid w:val="00B21318"/>
    <w:rsid w:val="00B21899"/>
    <w:rsid w:val="00B23C82"/>
    <w:rsid w:val="00B24316"/>
    <w:rsid w:val="00B24F19"/>
    <w:rsid w:val="00B27180"/>
    <w:rsid w:val="00B27F40"/>
    <w:rsid w:val="00B303F0"/>
    <w:rsid w:val="00B42F59"/>
    <w:rsid w:val="00B44070"/>
    <w:rsid w:val="00B46C6A"/>
    <w:rsid w:val="00B50BBA"/>
    <w:rsid w:val="00B510E2"/>
    <w:rsid w:val="00B53C40"/>
    <w:rsid w:val="00B56209"/>
    <w:rsid w:val="00B574F3"/>
    <w:rsid w:val="00B650D4"/>
    <w:rsid w:val="00B65617"/>
    <w:rsid w:val="00B71C5D"/>
    <w:rsid w:val="00B7338B"/>
    <w:rsid w:val="00B73DEE"/>
    <w:rsid w:val="00B75FDC"/>
    <w:rsid w:val="00B76711"/>
    <w:rsid w:val="00B77547"/>
    <w:rsid w:val="00B777CD"/>
    <w:rsid w:val="00B77F8F"/>
    <w:rsid w:val="00B800C9"/>
    <w:rsid w:val="00B8156D"/>
    <w:rsid w:val="00B8177C"/>
    <w:rsid w:val="00B82D5D"/>
    <w:rsid w:val="00B855DB"/>
    <w:rsid w:val="00B87755"/>
    <w:rsid w:val="00B91F2E"/>
    <w:rsid w:val="00B93A0F"/>
    <w:rsid w:val="00BA1492"/>
    <w:rsid w:val="00BA33EB"/>
    <w:rsid w:val="00BA45A0"/>
    <w:rsid w:val="00BA6ECE"/>
    <w:rsid w:val="00BA72C4"/>
    <w:rsid w:val="00BA73EF"/>
    <w:rsid w:val="00BB287C"/>
    <w:rsid w:val="00BB4108"/>
    <w:rsid w:val="00BB476C"/>
    <w:rsid w:val="00BB7AA6"/>
    <w:rsid w:val="00BC2E8D"/>
    <w:rsid w:val="00BC6647"/>
    <w:rsid w:val="00BC691D"/>
    <w:rsid w:val="00BC71FA"/>
    <w:rsid w:val="00BD30AA"/>
    <w:rsid w:val="00BD3709"/>
    <w:rsid w:val="00BE36E7"/>
    <w:rsid w:val="00BE5412"/>
    <w:rsid w:val="00BE6D8E"/>
    <w:rsid w:val="00BE742F"/>
    <w:rsid w:val="00BF0BA7"/>
    <w:rsid w:val="00BF1DE0"/>
    <w:rsid w:val="00BF57D9"/>
    <w:rsid w:val="00BF6A09"/>
    <w:rsid w:val="00BF6F0D"/>
    <w:rsid w:val="00BF7711"/>
    <w:rsid w:val="00C00BDA"/>
    <w:rsid w:val="00C01126"/>
    <w:rsid w:val="00C04FDA"/>
    <w:rsid w:val="00C05677"/>
    <w:rsid w:val="00C11958"/>
    <w:rsid w:val="00C1406D"/>
    <w:rsid w:val="00C22CFF"/>
    <w:rsid w:val="00C402A1"/>
    <w:rsid w:val="00C404A1"/>
    <w:rsid w:val="00C43D6A"/>
    <w:rsid w:val="00C466D2"/>
    <w:rsid w:val="00C506E3"/>
    <w:rsid w:val="00C5296E"/>
    <w:rsid w:val="00C55365"/>
    <w:rsid w:val="00C57628"/>
    <w:rsid w:val="00C60EE1"/>
    <w:rsid w:val="00C614DB"/>
    <w:rsid w:val="00C67135"/>
    <w:rsid w:val="00C7094D"/>
    <w:rsid w:val="00C726E6"/>
    <w:rsid w:val="00C76C57"/>
    <w:rsid w:val="00C77B1E"/>
    <w:rsid w:val="00C80D44"/>
    <w:rsid w:val="00C8165F"/>
    <w:rsid w:val="00C83EE0"/>
    <w:rsid w:val="00C85D98"/>
    <w:rsid w:val="00C93DF9"/>
    <w:rsid w:val="00C963FD"/>
    <w:rsid w:val="00CA119E"/>
    <w:rsid w:val="00CA4B2F"/>
    <w:rsid w:val="00CB01F6"/>
    <w:rsid w:val="00CB1425"/>
    <w:rsid w:val="00CB16C1"/>
    <w:rsid w:val="00CB1DCF"/>
    <w:rsid w:val="00CB3A25"/>
    <w:rsid w:val="00CB3ABE"/>
    <w:rsid w:val="00CB6355"/>
    <w:rsid w:val="00CC016D"/>
    <w:rsid w:val="00CC117C"/>
    <w:rsid w:val="00CC4DB4"/>
    <w:rsid w:val="00CC4F85"/>
    <w:rsid w:val="00CC6964"/>
    <w:rsid w:val="00CD08B8"/>
    <w:rsid w:val="00CD1895"/>
    <w:rsid w:val="00CD55AD"/>
    <w:rsid w:val="00CE1A73"/>
    <w:rsid w:val="00CE3CF4"/>
    <w:rsid w:val="00CE6471"/>
    <w:rsid w:val="00CE68D7"/>
    <w:rsid w:val="00CF0988"/>
    <w:rsid w:val="00CF0E2B"/>
    <w:rsid w:val="00CF309B"/>
    <w:rsid w:val="00CF33AB"/>
    <w:rsid w:val="00CF3570"/>
    <w:rsid w:val="00CF7342"/>
    <w:rsid w:val="00CF7461"/>
    <w:rsid w:val="00CF763B"/>
    <w:rsid w:val="00D02001"/>
    <w:rsid w:val="00D03ABA"/>
    <w:rsid w:val="00D04EE6"/>
    <w:rsid w:val="00D05050"/>
    <w:rsid w:val="00D05AD0"/>
    <w:rsid w:val="00D116F0"/>
    <w:rsid w:val="00D12655"/>
    <w:rsid w:val="00D128B3"/>
    <w:rsid w:val="00D1331B"/>
    <w:rsid w:val="00D16622"/>
    <w:rsid w:val="00D169E7"/>
    <w:rsid w:val="00D16E6F"/>
    <w:rsid w:val="00D17370"/>
    <w:rsid w:val="00D224F5"/>
    <w:rsid w:val="00D25D80"/>
    <w:rsid w:val="00D30485"/>
    <w:rsid w:val="00D36173"/>
    <w:rsid w:val="00D36AFA"/>
    <w:rsid w:val="00D44358"/>
    <w:rsid w:val="00D44AC5"/>
    <w:rsid w:val="00D4600E"/>
    <w:rsid w:val="00D52A45"/>
    <w:rsid w:val="00D52A9B"/>
    <w:rsid w:val="00D542B1"/>
    <w:rsid w:val="00D5647A"/>
    <w:rsid w:val="00D56902"/>
    <w:rsid w:val="00D63688"/>
    <w:rsid w:val="00D65EFA"/>
    <w:rsid w:val="00D72E75"/>
    <w:rsid w:val="00D7338B"/>
    <w:rsid w:val="00D73BA5"/>
    <w:rsid w:val="00D75F52"/>
    <w:rsid w:val="00D770AF"/>
    <w:rsid w:val="00D7777E"/>
    <w:rsid w:val="00D8153E"/>
    <w:rsid w:val="00D83FB8"/>
    <w:rsid w:val="00D86B93"/>
    <w:rsid w:val="00D90DAA"/>
    <w:rsid w:val="00D91493"/>
    <w:rsid w:val="00D93477"/>
    <w:rsid w:val="00D9413D"/>
    <w:rsid w:val="00D97AEF"/>
    <w:rsid w:val="00DA320C"/>
    <w:rsid w:val="00DA660A"/>
    <w:rsid w:val="00DB2008"/>
    <w:rsid w:val="00DB3B15"/>
    <w:rsid w:val="00DB5BD5"/>
    <w:rsid w:val="00DC07D3"/>
    <w:rsid w:val="00DC0CC0"/>
    <w:rsid w:val="00DC0DC6"/>
    <w:rsid w:val="00DC19A5"/>
    <w:rsid w:val="00DC3B8B"/>
    <w:rsid w:val="00DC4C6F"/>
    <w:rsid w:val="00DC5C1B"/>
    <w:rsid w:val="00DC767B"/>
    <w:rsid w:val="00DC7DE4"/>
    <w:rsid w:val="00DD025C"/>
    <w:rsid w:val="00DD4411"/>
    <w:rsid w:val="00DD4D2C"/>
    <w:rsid w:val="00DD6BE0"/>
    <w:rsid w:val="00DD6C69"/>
    <w:rsid w:val="00DE0BF5"/>
    <w:rsid w:val="00DE3980"/>
    <w:rsid w:val="00DE5CC4"/>
    <w:rsid w:val="00DF015B"/>
    <w:rsid w:val="00DF1331"/>
    <w:rsid w:val="00DF1489"/>
    <w:rsid w:val="00E01211"/>
    <w:rsid w:val="00E041D6"/>
    <w:rsid w:val="00E04422"/>
    <w:rsid w:val="00E0650A"/>
    <w:rsid w:val="00E07161"/>
    <w:rsid w:val="00E10CE1"/>
    <w:rsid w:val="00E1321F"/>
    <w:rsid w:val="00E14DD0"/>
    <w:rsid w:val="00E15731"/>
    <w:rsid w:val="00E158A4"/>
    <w:rsid w:val="00E21641"/>
    <w:rsid w:val="00E23D9E"/>
    <w:rsid w:val="00E2506D"/>
    <w:rsid w:val="00E263EE"/>
    <w:rsid w:val="00E27822"/>
    <w:rsid w:val="00E33564"/>
    <w:rsid w:val="00E3439D"/>
    <w:rsid w:val="00E410D0"/>
    <w:rsid w:val="00E41DDB"/>
    <w:rsid w:val="00E510E8"/>
    <w:rsid w:val="00E52038"/>
    <w:rsid w:val="00E5572F"/>
    <w:rsid w:val="00E62BF3"/>
    <w:rsid w:val="00E63597"/>
    <w:rsid w:val="00E641BE"/>
    <w:rsid w:val="00E65F99"/>
    <w:rsid w:val="00E66531"/>
    <w:rsid w:val="00E711FE"/>
    <w:rsid w:val="00E722BB"/>
    <w:rsid w:val="00E72D6C"/>
    <w:rsid w:val="00E73AC1"/>
    <w:rsid w:val="00E7697E"/>
    <w:rsid w:val="00E772DC"/>
    <w:rsid w:val="00E77F1B"/>
    <w:rsid w:val="00E810A5"/>
    <w:rsid w:val="00E81DE1"/>
    <w:rsid w:val="00E81DF1"/>
    <w:rsid w:val="00E83346"/>
    <w:rsid w:val="00E83A00"/>
    <w:rsid w:val="00E90D02"/>
    <w:rsid w:val="00E94519"/>
    <w:rsid w:val="00EA2393"/>
    <w:rsid w:val="00EA4C5D"/>
    <w:rsid w:val="00EA7600"/>
    <w:rsid w:val="00EB244A"/>
    <w:rsid w:val="00EB6D2A"/>
    <w:rsid w:val="00EB769C"/>
    <w:rsid w:val="00EC04F7"/>
    <w:rsid w:val="00EC091C"/>
    <w:rsid w:val="00EC218F"/>
    <w:rsid w:val="00EC3176"/>
    <w:rsid w:val="00EC4328"/>
    <w:rsid w:val="00EC51C1"/>
    <w:rsid w:val="00EC52E5"/>
    <w:rsid w:val="00EC5649"/>
    <w:rsid w:val="00EC6222"/>
    <w:rsid w:val="00ED00EC"/>
    <w:rsid w:val="00ED04CF"/>
    <w:rsid w:val="00ED0CF4"/>
    <w:rsid w:val="00ED6F51"/>
    <w:rsid w:val="00ED7155"/>
    <w:rsid w:val="00ED7FEF"/>
    <w:rsid w:val="00EE23E7"/>
    <w:rsid w:val="00EE38D4"/>
    <w:rsid w:val="00EE3B31"/>
    <w:rsid w:val="00EE403D"/>
    <w:rsid w:val="00EE5271"/>
    <w:rsid w:val="00EE5C79"/>
    <w:rsid w:val="00EE761A"/>
    <w:rsid w:val="00EE76D4"/>
    <w:rsid w:val="00EE79DC"/>
    <w:rsid w:val="00EF1384"/>
    <w:rsid w:val="00EF3F60"/>
    <w:rsid w:val="00EF42F0"/>
    <w:rsid w:val="00EF4C41"/>
    <w:rsid w:val="00EF5280"/>
    <w:rsid w:val="00EF7B2B"/>
    <w:rsid w:val="00F00A08"/>
    <w:rsid w:val="00F00D51"/>
    <w:rsid w:val="00F02AE3"/>
    <w:rsid w:val="00F0662D"/>
    <w:rsid w:val="00F10985"/>
    <w:rsid w:val="00F133B9"/>
    <w:rsid w:val="00F13902"/>
    <w:rsid w:val="00F16D46"/>
    <w:rsid w:val="00F20B11"/>
    <w:rsid w:val="00F23122"/>
    <w:rsid w:val="00F23151"/>
    <w:rsid w:val="00F24002"/>
    <w:rsid w:val="00F24A28"/>
    <w:rsid w:val="00F267DF"/>
    <w:rsid w:val="00F31594"/>
    <w:rsid w:val="00F31AA9"/>
    <w:rsid w:val="00F373B4"/>
    <w:rsid w:val="00F37732"/>
    <w:rsid w:val="00F41677"/>
    <w:rsid w:val="00F41E14"/>
    <w:rsid w:val="00F45A59"/>
    <w:rsid w:val="00F472BC"/>
    <w:rsid w:val="00F5079A"/>
    <w:rsid w:val="00F54ADA"/>
    <w:rsid w:val="00F556AA"/>
    <w:rsid w:val="00F55FD3"/>
    <w:rsid w:val="00F56494"/>
    <w:rsid w:val="00F72A74"/>
    <w:rsid w:val="00F72D5E"/>
    <w:rsid w:val="00F766FA"/>
    <w:rsid w:val="00F76BD4"/>
    <w:rsid w:val="00F76F5D"/>
    <w:rsid w:val="00F83264"/>
    <w:rsid w:val="00F84B59"/>
    <w:rsid w:val="00F86A87"/>
    <w:rsid w:val="00F873BB"/>
    <w:rsid w:val="00F87E51"/>
    <w:rsid w:val="00F906DD"/>
    <w:rsid w:val="00F90D59"/>
    <w:rsid w:val="00F92BB8"/>
    <w:rsid w:val="00F94D6A"/>
    <w:rsid w:val="00FA30E0"/>
    <w:rsid w:val="00FA5ACE"/>
    <w:rsid w:val="00FA644D"/>
    <w:rsid w:val="00FB2F4D"/>
    <w:rsid w:val="00FB4C74"/>
    <w:rsid w:val="00FB7402"/>
    <w:rsid w:val="00FC003D"/>
    <w:rsid w:val="00FC2B7B"/>
    <w:rsid w:val="00FC47E3"/>
    <w:rsid w:val="00FC4995"/>
    <w:rsid w:val="00FC4CEC"/>
    <w:rsid w:val="00FC54D0"/>
    <w:rsid w:val="00FC6DC1"/>
    <w:rsid w:val="00FD21BA"/>
    <w:rsid w:val="00FD65C8"/>
    <w:rsid w:val="00FD7530"/>
    <w:rsid w:val="00FE2C7B"/>
    <w:rsid w:val="00FE3DD6"/>
    <w:rsid w:val="00FF1F16"/>
    <w:rsid w:val="00FF32DB"/>
    <w:rsid w:val="00FF41A4"/>
    <w:rsid w:val="00FF587E"/>
    <w:rsid w:val="00FF6A02"/>
    <w:rsid w:val="00FF6EBE"/>
  </w:rsids>
  <w:docVars>
    <w:docVar w:name="__Grammarly_42___1" w:val="H4sIAAAAAAAEAKtWcslP9kxRslIyNDYysrQwMDEwNDQzMTM3NTFR0lEKTi0uzszPAykwNKwFAEenG0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48949"/>
  <w15:chartTrackingRefBased/>
  <w15:docId w15:val="{0FA14B6A-C600-48F4-AE10-673AB920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D4713"/>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F76F5D"/>
    <w:pPr>
      <w:spacing w:before="120" w:after="120" w:line="259" w:lineRule="auto"/>
      <w:outlineLvl w:val="1"/>
    </w:pPr>
    <w:rPr>
      <w:rFonts w:eastAsia="Calibri" w:asciiTheme="minorHAnsi" w:hAnsiTheme="minorHAnsi"/>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13"/>
    <w:pPr>
      <w:tabs>
        <w:tab w:val="center" w:pos="4680"/>
        <w:tab w:val="right" w:pos="9360"/>
      </w:tabs>
    </w:pPr>
  </w:style>
  <w:style w:type="character" w:customStyle="1" w:styleId="HeaderChar">
    <w:name w:val="Header Char"/>
    <w:basedOn w:val="DefaultParagraphFont"/>
    <w:link w:val="Header"/>
    <w:uiPriority w:val="99"/>
    <w:rsid w:val="009D4713"/>
  </w:style>
  <w:style w:type="paragraph" w:styleId="Footer">
    <w:name w:val="footer"/>
    <w:basedOn w:val="Normal"/>
    <w:link w:val="FooterChar"/>
    <w:uiPriority w:val="99"/>
    <w:unhideWhenUsed/>
    <w:rsid w:val="009D4713"/>
    <w:pPr>
      <w:tabs>
        <w:tab w:val="center" w:pos="4680"/>
        <w:tab w:val="right" w:pos="9360"/>
      </w:tabs>
    </w:pPr>
  </w:style>
  <w:style w:type="character" w:customStyle="1" w:styleId="FooterChar">
    <w:name w:val="Footer Char"/>
    <w:basedOn w:val="DefaultParagraphFont"/>
    <w:link w:val="Footer"/>
    <w:uiPriority w:val="99"/>
    <w:rsid w:val="009D4713"/>
  </w:style>
  <w:style w:type="paragraph" w:customStyle="1" w:styleId="SectionHeading">
    <w:name w:val=".Section Heading"/>
    <w:basedOn w:val="Normal"/>
    <w:link w:val="SectionHeadingChar"/>
    <w:qFormat/>
    <w:rsid w:val="009D4713"/>
    <w:pPr>
      <w:spacing w:line="280" w:lineRule="atLeast"/>
    </w:pPr>
    <w:rPr>
      <w:rFonts w:ascii="Arial" w:hAnsi="Arial" w:cs="Arial"/>
      <w:b/>
      <w:color w:val="808000"/>
      <w:sz w:val="18"/>
      <w:szCs w:val="18"/>
    </w:rPr>
  </w:style>
  <w:style w:type="character" w:customStyle="1" w:styleId="SectionHeadingChar">
    <w:name w:val=".Section Heading Char"/>
    <w:link w:val="SectionHeading"/>
    <w:rsid w:val="009D4713"/>
    <w:rPr>
      <w:rFonts w:ascii="Arial" w:eastAsia="Times New Roman" w:hAnsi="Arial" w:cs="Arial"/>
      <w:b/>
      <w:color w:val="808000"/>
      <w:sz w:val="18"/>
      <w:szCs w:val="18"/>
    </w:rPr>
  </w:style>
  <w:style w:type="paragraph" w:customStyle="1" w:styleId="Headers">
    <w:name w:val="Headers"/>
    <w:basedOn w:val="SectionHeading"/>
    <w:link w:val="HeadersChar"/>
    <w:qFormat/>
    <w:rsid w:val="008F5DBD"/>
    <w:rPr>
      <w:rFonts w:asciiTheme="majorHAnsi" w:hAnsiTheme="majorHAnsi" w:cstheme="majorHAnsi"/>
      <w:color w:val="FFFFFF" w:themeColor="background1"/>
      <w:sz w:val="20"/>
    </w:rPr>
  </w:style>
  <w:style w:type="paragraph" w:styleId="Subtitle">
    <w:name w:val="Subtitle"/>
    <w:basedOn w:val="Normal"/>
    <w:next w:val="Normal"/>
    <w:link w:val="SubtitleChar"/>
    <w:uiPriority w:val="11"/>
    <w:qFormat/>
    <w:rsid w:val="008F5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HeadersChar">
    <w:name w:val="Headers Char"/>
    <w:basedOn w:val="SectionHeadingChar"/>
    <w:link w:val="Headers"/>
    <w:rsid w:val="008F5DBD"/>
    <w:rPr>
      <w:rFonts w:eastAsia="Times New Roman" w:asciiTheme="majorHAnsi" w:hAnsiTheme="majorHAnsi" w:cstheme="majorHAnsi"/>
      <w:b/>
      <w:color w:val="FFFFFF" w:themeColor="background1"/>
      <w:sz w:val="18"/>
      <w:szCs w:val="18"/>
    </w:rPr>
  </w:style>
  <w:style w:type="character" w:customStyle="1" w:styleId="SubtitleChar">
    <w:name w:val="Subtitle Char"/>
    <w:basedOn w:val="DefaultParagraphFont"/>
    <w:link w:val="Subtitle"/>
    <w:uiPriority w:val="11"/>
    <w:rsid w:val="008F5DBD"/>
    <w:rPr>
      <w:rFonts w:asciiTheme="minorHAnsi" w:eastAsiaTheme="minorEastAsia" w:hAnsiTheme="minorHAnsi" w:cstheme="minorBidi"/>
      <w:color w:val="5A5A5A" w:themeColor="text1" w:themeTint="A5"/>
      <w:spacing w:val="15"/>
      <w:sz w:val="22"/>
      <w:szCs w:val="22"/>
    </w:rPr>
  </w:style>
  <w:style w:type="paragraph" w:customStyle="1" w:styleId="Lists">
    <w:name w:val="Lists"/>
    <w:basedOn w:val="Normal"/>
    <w:link w:val="ListsChar"/>
    <w:qFormat/>
    <w:rsid w:val="00D16E6F"/>
    <w:pPr>
      <w:spacing w:before="120" w:after="120"/>
    </w:pPr>
    <w:rPr>
      <w:rFonts w:asciiTheme="majorHAnsi" w:hAnsiTheme="majorHAnsi" w:cstheme="majorHAnsi"/>
      <w:sz w:val="20"/>
      <w:szCs w:val="18"/>
      <w:lang w:val="en-GB"/>
    </w:rPr>
  </w:style>
  <w:style w:type="character" w:customStyle="1" w:styleId="ListsChar">
    <w:name w:val="Lists Char"/>
    <w:basedOn w:val="DefaultParagraphFont"/>
    <w:link w:val="Lists"/>
    <w:rsid w:val="00D16E6F"/>
    <w:rPr>
      <w:rFonts w:eastAsia="Times New Roman" w:asciiTheme="majorHAnsi" w:hAnsiTheme="majorHAnsi" w:cstheme="majorHAnsi"/>
      <w:szCs w:val="18"/>
      <w:lang w:val="en-GB"/>
    </w:rPr>
  </w:style>
  <w:style w:type="character" w:styleId="CommentReference">
    <w:name w:val="annotation reference"/>
    <w:basedOn w:val="DefaultParagraphFont"/>
    <w:uiPriority w:val="99"/>
    <w:semiHidden/>
    <w:unhideWhenUsed/>
    <w:rsid w:val="00FD65C8"/>
    <w:rPr>
      <w:sz w:val="16"/>
      <w:szCs w:val="16"/>
    </w:rPr>
  </w:style>
  <w:style w:type="paragraph" w:styleId="CommentText">
    <w:name w:val="annotation text"/>
    <w:basedOn w:val="Normal"/>
    <w:link w:val="CommentTextChar"/>
    <w:uiPriority w:val="99"/>
    <w:unhideWhenUsed/>
    <w:rsid w:val="00FD65C8"/>
    <w:rPr>
      <w:sz w:val="20"/>
      <w:szCs w:val="20"/>
    </w:rPr>
  </w:style>
  <w:style w:type="character" w:customStyle="1" w:styleId="CommentTextChar">
    <w:name w:val="Comment Text Char"/>
    <w:basedOn w:val="DefaultParagraphFont"/>
    <w:link w:val="CommentText"/>
    <w:uiPriority w:val="99"/>
    <w:rsid w:val="00FD65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65C8"/>
    <w:rPr>
      <w:b/>
      <w:bCs/>
    </w:rPr>
  </w:style>
  <w:style w:type="character" w:customStyle="1" w:styleId="CommentSubjectChar">
    <w:name w:val="Comment Subject Char"/>
    <w:basedOn w:val="CommentTextChar"/>
    <w:link w:val="CommentSubject"/>
    <w:uiPriority w:val="99"/>
    <w:semiHidden/>
    <w:rsid w:val="00FD65C8"/>
    <w:rPr>
      <w:rFonts w:ascii="Times New Roman" w:eastAsia="Times New Roman" w:hAnsi="Times New Roman"/>
      <w:b/>
      <w:bCs/>
    </w:rPr>
  </w:style>
  <w:style w:type="paragraph" w:styleId="BalloonText">
    <w:name w:val="Balloon Text"/>
    <w:basedOn w:val="Normal"/>
    <w:link w:val="BalloonTextChar"/>
    <w:uiPriority w:val="99"/>
    <w:semiHidden/>
    <w:unhideWhenUsed/>
    <w:rsid w:val="00FD6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5C8"/>
    <w:rPr>
      <w:rFonts w:ascii="Segoe UI" w:eastAsia="Times New Roman" w:hAnsi="Segoe UI" w:cs="Segoe UI"/>
      <w:sz w:val="18"/>
      <w:szCs w:val="18"/>
    </w:rPr>
  </w:style>
  <w:style w:type="character" w:styleId="Hyperlink">
    <w:name w:val="Hyperlink"/>
    <w:basedOn w:val="DefaultParagraphFont"/>
    <w:uiPriority w:val="99"/>
    <w:unhideWhenUsed/>
    <w:rsid w:val="00EE5271"/>
    <w:rPr>
      <w:color w:val="0563C1" w:themeColor="hyperlink"/>
      <w:u w:val="single"/>
    </w:rPr>
  </w:style>
  <w:style w:type="character" w:styleId="UnresolvedMention">
    <w:name w:val="Unresolved Mention"/>
    <w:basedOn w:val="DefaultParagraphFont"/>
    <w:uiPriority w:val="99"/>
    <w:rsid w:val="00EE5271"/>
    <w:rPr>
      <w:color w:val="605E5C"/>
      <w:shd w:val="clear" w:color="auto" w:fill="E1DFDD"/>
    </w:rPr>
  </w:style>
  <w:style w:type="table" w:styleId="TableGrid">
    <w:name w:val="Table Grid"/>
    <w:basedOn w:val="TableNormal"/>
    <w:uiPriority w:val="39"/>
    <w:rsid w:val="00A6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6F5D"/>
    <w:rPr>
      <w:rFonts w:asciiTheme="minorHAnsi" w:hAnsiTheme="minorHAnsi"/>
      <w:b/>
      <w:sz w:val="32"/>
    </w:rPr>
  </w:style>
  <w:style w:type="paragraph" w:styleId="ListParagraph">
    <w:name w:val="List Paragraph"/>
    <w:basedOn w:val="Normal"/>
    <w:uiPriority w:val="34"/>
    <w:qFormat/>
    <w:rsid w:val="00B800C9"/>
    <w:pPr>
      <w:ind w:left="720"/>
      <w:contextualSpacing/>
    </w:pPr>
  </w:style>
  <w:style w:type="character" w:styleId="FollowedHyperlink">
    <w:name w:val="FollowedHyperlink"/>
    <w:basedOn w:val="DefaultParagraphFont"/>
    <w:uiPriority w:val="99"/>
    <w:semiHidden/>
    <w:unhideWhenUsed/>
    <w:rsid w:val="00823DD7"/>
    <w:rPr>
      <w:color w:val="954F72" w:themeColor="followedHyperlink"/>
      <w:u w:val="single"/>
    </w:rPr>
  </w:style>
  <w:style w:type="paragraph" w:styleId="Revision">
    <w:name w:val="Revision"/>
    <w:hidden/>
    <w:uiPriority w:val="99"/>
    <w:semiHidden/>
    <w:rsid w:val="00012F47"/>
    <w:rPr>
      <w:rFonts w:ascii="Times New Roman" w:eastAsia="Times New Roman" w:hAnsi="Times New Roman"/>
      <w:sz w:val="24"/>
      <w:szCs w:val="24"/>
    </w:rPr>
  </w:style>
  <w:style w:type="paragraph" w:styleId="BodyText">
    <w:name w:val="Body Text"/>
    <w:basedOn w:val="BodyText2"/>
    <w:link w:val="BodyTextChar"/>
    <w:semiHidden/>
    <w:unhideWhenUsed/>
    <w:qFormat/>
    <w:rsid w:val="000A36D2"/>
    <w:pPr>
      <w:spacing w:after="160" w:line="256" w:lineRule="auto"/>
      <w:jc w:val="both"/>
    </w:pPr>
    <w:rPr>
      <w:rFonts w:ascii="Calibri" w:hAnsi="Calibri" w:cs="Arial"/>
      <w:color w:val="595959"/>
      <w:kern w:val="2"/>
      <w:szCs w:val="20"/>
      <w14:ligatures w14:val="standardContextual"/>
    </w:rPr>
  </w:style>
  <w:style w:type="character" w:customStyle="1" w:styleId="BodyTextChar">
    <w:name w:val="Body Text Char"/>
    <w:basedOn w:val="DefaultParagraphFont"/>
    <w:link w:val="BodyText"/>
    <w:semiHidden/>
    <w:rsid w:val="000A36D2"/>
    <w:rPr>
      <w:rFonts w:eastAsia="Times New Roman" w:cs="Arial"/>
      <w:color w:val="595959"/>
      <w:kern w:val="2"/>
      <w:sz w:val="24"/>
      <w14:ligatures w14:val="standardContextual"/>
    </w:rPr>
  </w:style>
  <w:style w:type="paragraph" w:styleId="BodyText2">
    <w:name w:val="Body Text 2"/>
    <w:basedOn w:val="Normal"/>
    <w:link w:val="BodyText2Char"/>
    <w:uiPriority w:val="99"/>
    <w:semiHidden/>
    <w:unhideWhenUsed/>
    <w:rsid w:val="000A36D2"/>
    <w:pPr>
      <w:spacing w:after="120" w:line="480" w:lineRule="auto"/>
    </w:pPr>
  </w:style>
  <w:style w:type="character" w:customStyle="1" w:styleId="BodyText2Char">
    <w:name w:val="Body Text 2 Char"/>
    <w:basedOn w:val="DefaultParagraphFont"/>
    <w:link w:val="BodyText2"/>
    <w:uiPriority w:val="99"/>
    <w:semiHidden/>
    <w:rsid w:val="000A36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www.dol.gov/sites/dolgov/files/EBSA/laws-and-regulations/laws/mental-health-parity/mental-health-parity-nqtls.pdf" TargetMode="External" /><Relationship Id="rId13" Type="http://schemas.openxmlformats.org/officeDocument/2006/relationships/hyperlink" Target="https://www.cms.gov/medicare/employers-plan-sponsors/creditable-coverage" TargetMode="External" /><Relationship Id="rId14" Type="http://schemas.openxmlformats.org/officeDocument/2006/relationships/hyperlink" Target="https://www.irs.gov/forms-pubs/about-form-1094-b" TargetMode="External" /><Relationship Id="rId15" Type="http://schemas.openxmlformats.org/officeDocument/2006/relationships/hyperlink" Target="https://www.irs.gov/forms-pubs/about-form-1095-b" TargetMode="External" /><Relationship Id="rId16" Type="http://schemas.openxmlformats.org/officeDocument/2006/relationships/hyperlink" Target="https://www.irs.gov/pub/irs-pdf/f8809.pdf" TargetMode="External" /><Relationship Id="rId17" Type="http://schemas.openxmlformats.org/officeDocument/2006/relationships/hyperlink" Target="https://www.cms.gov/CCIIO/Programs-and-Initiatives/Other-Insurance-Protections/Prescription-Drug-Data-Collection" TargetMode="External" /><Relationship Id="rId18" Type="http://schemas.openxmlformats.org/officeDocument/2006/relationships/hyperlink" Target="https://www.irs.gov/forms-pubs/about-form-720" TargetMode="External" /><Relationship Id="rId19" Type="http://schemas.openxmlformats.org/officeDocument/2006/relationships/hyperlink" Target="https://www.dol.gov/agencies/ebsa/employers-and-advisers/plan-administration-and-compliance/reporting-and-filing/form-5500" TargetMode="External" /><Relationship Id="rId2" Type="http://schemas.openxmlformats.org/officeDocument/2006/relationships/webSettings" Target="webSettings.xml" /><Relationship Id="rId20" Type="http://schemas.openxmlformats.org/officeDocument/2006/relationships/hyperlink" Target="https://www.irs.gov/forms-pubs/about-form-5558" TargetMode="External" /><Relationship Id="rId21" Type="http://schemas.openxmlformats.org/officeDocument/2006/relationships/hyperlink" Target="https://www.cms.gov/marketplace/about/oversight/other-insurance-protections/gag-clause-prohibition-compliance-attestation" TargetMode="External" /><Relationship Id="rId22" Type="http://schemas.openxmlformats.org/officeDocument/2006/relationships/hyperlink" Target="https://www.dol.gov/sites/dolgov/files/EBSA/laws-and-regulations/laws/cobra/model-general-notice.docx" TargetMode="External" /><Relationship Id="rId23" Type="http://schemas.openxmlformats.org/officeDocument/2006/relationships/hyperlink" Target="https://www.dol.gov/sites/dolgov/files/EBSA/laws-and-regulations/laws/cobra/model-election-notice.docx" TargetMode="External" /><Relationship Id="rId24" Type="http://schemas.openxmlformats.org/officeDocument/2006/relationships/hyperlink" Target="https://www.dol.gov/agencies/ebsa/laws-and-regulations/laws/affordable-care-act/for-employers-and-advisers/summary-of-benefits" TargetMode="External" /><Relationship Id="rId25" Type="http://schemas.openxmlformats.org/officeDocument/2006/relationships/hyperlink" Target="https://www.cms.gov/medicare/employers-plan-sponsors/creditable-coverage/model-notice-letters" TargetMode="External" /><Relationship Id="rId26" Type="http://schemas.openxmlformats.org/officeDocument/2006/relationships/hyperlink" Target="https://www.dol.gov/sites/default/files/ebsa/laws-and-regulations/laws/chipra/model-notice.doc" TargetMode="External" /><Relationship Id="rId27" Type="http://schemas.openxmlformats.org/officeDocument/2006/relationships/hyperlink" Target="https://www.hhs.gov/hipaa/for-professionals/privacy/guidance/model-notices-privacy-practices/index.html" TargetMode="External" /><Relationship Id="rId28" Type="http://schemas.openxmlformats.org/officeDocument/2006/relationships/hyperlink" Target="https://www.dol.gov/agencies/ebsa/laws-and-regulations/laws/affordable-care-act/for-employers-and-advisers/coverage-options-notice" TargetMode="External" /><Relationship Id="rId29" Type="http://schemas.openxmlformats.org/officeDocument/2006/relationships/hyperlink" Target="https://www.dol.gov/sites/dolgov/files/EBSA/laws-and-regulations/laws/affordable-care-act/for-employers-and-advisers/patient-protection-model-notice.doc" TargetMode="External" /><Relationship Id="rId3" Type="http://schemas.openxmlformats.org/officeDocument/2006/relationships/fontTable" Target="fontTable.xml" /><Relationship Id="rId30" Type="http://schemas.openxmlformats.org/officeDocument/2006/relationships/hyperlink" Target="https://www.dol.gov/sites/dolgov/files/EBSA/about-ebsa/our-activities/resource-center/publications/compliance-assistance-guide-appendix-c.pdf" TargetMode="External" /><Relationship Id="rId31" Type="http://schemas.openxmlformats.org/officeDocument/2006/relationships/hyperlink" Target="https://www.dol.gov/sites/dolgov/files/EBSA/laws-and-regulations/laws/affordable-care-act/for-employers-and-advisers/grandfathered-health-plans-model-notice.doc" TargetMode="External" /><Relationship Id="rId32" Type="http://schemas.openxmlformats.org/officeDocument/2006/relationships/header" Target="head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BEEAB1C8494469052C42F3E641444" ma:contentTypeVersion="21" ma:contentTypeDescription="Create a new document." ma:contentTypeScope="" ma:versionID="4f38cee6f027e51bf24a8c944f66d077">
  <xsd:schema xmlns:xsd="http://www.w3.org/2001/XMLSchema" xmlns:xs="http://www.w3.org/2001/XMLSchema" xmlns:p="http://schemas.microsoft.com/office/2006/metadata/properties" xmlns:ns1="http://schemas.microsoft.com/sharepoint/v3" xmlns:ns2="7f0d438c-546f-418b-8b34-3aeabdd873e7" xmlns:ns3="b8e3cc31-5e35-410f-816b-f92194aa7093" targetNamespace="http://schemas.microsoft.com/office/2006/metadata/properties" ma:root="true" ma:fieldsID="7517bf1e0000a2258f4272bd71bf4789" ns1:_="" ns2:_="" ns3:_="">
    <xsd:import namespace="http://schemas.microsoft.com/sharepoint/v3"/>
    <xsd:import namespace="7f0d438c-546f-418b-8b34-3aeabdd873e7"/>
    <xsd:import namespace="b8e3cc31-5e35-410f-816b-f92194aa7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d438c-546f-418b-8b34-3aeabdd87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5696d3-a483-472b-9efb-84a45ba5b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3cc31-5e35-410f-816b-f92194aa70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f3ee35-7626-46c8-a433-74b9dadabf13}" ma:internalName="TaxCatchAll" ma:showField="CatchAllData" ma:web="b8e3cc31-5e35-410f-816b-f92194aa7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f0d438c-546f-418b-8b34-3aeabdd873e7">
      <Terms xmlns="http://schemas.microsoft.com/office/infopath/2007/PartnerControls"/>
    </lcf76f155ced4ddcb4097134ff3c332f>
    <TaxCatchAll xmlns="b8e3cc31-5e35-410f-816b-f92194aa70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132C8-3A6F-452D-96B9-56D0AD01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d438c-546f-418b-8b34-3aeabdd873e7"/>
    <ds:schemaRef ds:uri="b8e3cc31-5e35-410f-816b-f92194aa7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A4338-8F26-48D5-9361-FC405891CF3D}">
  <ds:schemaRefs>
    <ds:schemaRef ds:uri="http://schemas.microsoft.com/office/2006/metadata/properties"/>
    <ds:schemaRef ds:uri="http://schemas.microsoft.com/office/infopath/2007/PartnerControls"/>
    <ds:schemaRef ds:uri="http://schemas.microsoft.com/sharepoint/v3"/>
    <ds:schemaRef ds:uri="7f0d438c-546f-418b-8b34-3aeabdd873e7"/>
    <ds:schemaRef ds:uri="b8e3cc31-5e35-410f-816b-f92194aa7093"/>
  </ds:schemaRefs>
</ds:datastoreItem>
</file>

<file path=customXml/itemProps3.xml><?xml version="1.0" encoding="utf-8"?>
<ds:datastoreItem xmlns:ds="http://schemas.openxmlformats.org/officeDocument/2006/customXml" ds:itemID="{3186C249-A1D2-42CD-9142-39400F6E3B40}">
  <ds:schemaRefs>
    <ds:schemaRef ds:uri="http://schemas.openxmlformats.org/officeDocument/2006/bibliography"/>
  </ds:schemaRefs>
</ds:datastoreItem>
</file>

<file path=customXml/itemProps4.xml><?xml version="1.0" encoding="utf-8"?>
<ds:datastoreItem xmlns:ds="http://schemas.openxmlformats.org/officeDocument/2006/customXml" ds:itemID="{70B13E44-DA18-4E22-B544-DF43454395D7}">
  <ds:schemaRefs>
    <ds:schemaRef ds:uri="http://schemas.microsoft.com/sharepoint/v3/contenttype/forms"/>
  </ds:schemaRefs>
</ds:datastoreItem>
</file>

<file path=docMetadata/LabelInfo.xml><?xml version="1.0" encoding="utf-8"?>
<clbl:labelList xmlns:clbl="http://schemas.microsoft.com/office/2020/mipLabelMetadata">
  <clbl:label id="{b6e4ed5c-88d9-405d-a9a4-5110fdfd941d}"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4272</Words>
  <Characters>23420</Characters>
  <Application>Microsoft Office Word</Application>
  <DocSecurity>0</DocSecurity>
  <Lines>560</Lines>
  <Paragraphs>215</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Margerie</dc:creator>
  <cp:lastModifiedBy>Margerie, Erin</cp:lastModifiedBy>
  <cp:revision>7</cp:revision>
  <dcterms:created xsi:type="dcterms:W3CDTF">2026-05-11T17:07:00Z</dcterms:created>
  <dcterms:modified xsi:type="dcterms:W3CDTF">2026-05-11T19:16:00Z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0x01010008DBEEAB1C8494469052C42F3E641444</vt:lpwstr>
  </property>
  <property fmtid="{D5CDD505-2E9C-101B-9397-08002B2CF9AE}" pid="3" name="GrammarlyDocumentId">
    <vt:lpwstr>8f7374665928f6d02e6a19cfc57175438a7b137a1dbfbcb5dd5570bce4253d37</vt:lpwstr>
  </property>
  <property fmtid="{D5CDD505-2E9C-101B-9397-08002B2CF9AE}" pid="4" name="MediaServiceImageTags">
    <vt:lpwstr/>
  </property>
</Properties>
</file>